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66E7F">
      <w:pPr>
        <w:spacing w:line="480" w:lineRule="auto"/>
        <w:jc w:val="center"/>
        <w:rPr>
          <w:rFonts w:cs="华文楷体" w:asciiTheme="minorEastAsia" w:hAnsiTheme="minorEastAsia" w:eastAsiaTheme="minorEastAsia"/>
          <w:b/>
          <w:color w:val="000000" w:themeColor="text1"/>
          <w:sz w:val="52"/>
          <w:szCs w:val="52"/>
        </w:rPr>
      </w:pPr>
    </w:p>
    <w:p w14:paraId="44CBFD9C">
      <w:pPr>
        <w:adjustRightInd w:val="0"/>
        <w:snapToGrid w:val="0"/>
        <w:jc w:val="center"/>
        <w:rPr>
          <w:rFonts w:cs="华文楷体" w:asciiTheme="minorEastAsia" w:hAnsiTheme="minorEastAsia" w:eastAsiaTheme="minorEastAsia"/>
          <w:b/>
          <w:bCs/>
          <w:color w:val="000000" w:themeColor="text1"/>
          <w:sz w:val="32"/>
          <w:szCs w:val="32"/>
          <w:u w:val="single"/>
        </w:rPr>
      </w:pPr>
      <w:r>
        <w:rPr>
          <w:rFonts w:hint="eastAsia" w:cs="华文楷体" w:asciiTheme="minorEastAsia" w:hAnsiTheme="minorEastAsia" w:eastAsiaTheme="minorEastAsia"/>
          <w:b/>
          <w:color w:val="000000" w:themeColor="text1"/>
          <w:sz w:val="48"/>
          <w:szCs w:val="48"/>
        </w:rPr>
        <w:t xml:space="preserve">江苏师范大学安全智能实验室项目（第二次） </w:t>
      </w:r>
      <w:r>
        <w:rPr>
          <w:rFonts w:cs="华文楷体" w:asciiTheme="minorEastAsia" w:hAnsiTheme="minorEastAsia" w:eastAsiaTheme="minorEastAsia"/>
          <w:b/>
          <w:color w:val="000000" w:themeColor="text1"/>
          <w:sz w:val="48"/>
          <w:szCs w:val="48"/>
        </w:rPr>
        <w:t xml:space="preserve">         </w:t>
      </w:r>
      <w:r>
        <w:rPr>
          <w:rFonts w:cs="华文楷体" w:asciiTheme="minorEastAsia" w:hAnsiTheme="minorEastAsia" w:eastAsiaTheme="minorEastAsia"/>
          <w:b/>
          <w:color w:val="000000" w:themeColor="text1"/>
          <w:sz w:val="32"/>
          <w:szCs w:val="32"/>
        </w:rPr>
        <w:t xml:space="preserve">   </w:t>
      </w:r>
      <w:r>
        <w:rPr>
          <w:rFonts w:hint="eastAsia" w:cs="华文楷体" w:asciiTheme="minorEastAsia" w:hAnsiTheme="minorEastAsia" w:eastAsiaTheme="minorEastAsia"/>
          <w:b/>
          <w:color w:val="000000" w:themeColor="text1"/>
          <w:sz w:val="32"/>
          <w:szCs w:val="32"/>
        </w:rPr>
        <w:t>(项目编号：2024H13028)</w:t>
      </w:r>
    </w:p>
    <w:p w14:paraId="520B41EE">
      <w:pPr>
        <w:adjustRightInd w:val="0"/>
        <w:snapToGrid w:val="0"/>
        <w:rPr>
          <w:rFonts w:cs="华文楷体" w:asciiTheme="minorEastAsia" w:hAnsiTheme="minorEastAsia" w:eastAsiaTheme="minorEastAsia"/>
          <w:b/>
          <w:color w:val="000000" w:themeColor="text1"/>
          <w:sz w:val="72"/>
          <w:szCs w:val="72"/>
        </w:rPr>
      </w:pPr>
    </w:p>
    <w:p w14:paraId="1E4D96A2">
      <w:pPr>
        <w:adjustRightInd w:val="0"/>
        <w:snapToGrid w:val="0"/>
        <w:spacing w:line="276" w:lineRule="auto"/>
        <w:jc w:val="center"/>
        <w:rPr>
          <w:rFonts w:cs="华文楷体" w:asciiTheme="minorEastAsia" w:hAnsiTheme="minorEastAsia" w:eastAsiaTheme="minorEastAsia"/>
          <w:b/>
          <w:color w:val="000000" w:themeColor="text1"/>
          <w:sz w:val="96"/>
          <w:szCs w:val="120"/>
        </w:rPr>
      </w:pPr>
      <w:r>
        <w:rPr>
          <w:rFonts w:hint="eastAsia" w:cs="华文楷体" w:asciiTheme="minorEastAsia" w:hAnsiTheme="minorEastAsia" w:eastAsiaTheme="minorEastAsia"/>
          <w:b/>
          <w:color w:val="000000" w:themeColor="text1"/>
          <w:sz w:val="96"/>
          <w:szCs w:val="120"/>
        </w:rPr>
        <w:t>磋</w:t>
      </w:r>
    </w:p>
    <w:p w14:paraId="51D0E3CC">
      <w:pPr>
        <w:adjustRightInd w:val="0"/>
        <w:snapToGrid w:val="0"/>
        <w:spacing w:line="276" w:lineRule="auto"/>
        <w:jc w:val="center"/>
        <w:rPr>
          <w:rFonts w:cs="华文楷体" w:asciiTheme="minorEastAsia" w:hAnsiTheme="minorEastAsia" w:eastAsiaTheme="minorEastAsia"/>
          <w:b/>
          <w:color w:val="000000" w:themeColor="text1"/>
          <w:sz w:val="96"/>
          <w:szCs w:val="120"/>
        </w:rPr>
      </w:pPr>
      <w:r>
        <w:rPr>
          <w:rFonts w:hint="eastAsia" w:cs="华文楷体" w:asciiTheme="minorEastAsia" w:hAnsiTheme="minorEastAsia" w:eastAsiaTheme="minorEastAsia"/>
          <w:b/>
          <w:color w:val="000000" w:themeColor="text1"/>
          <w:sz w:val="96"/>
          <w:szCs w:val="120"/>
        </w:rPr>
        <w:t>商</w:t>
      </w:r>
    </w:p>
    <w:p w14:paraId="4CA629E5">
      <w:pPr>
        <w:adjustRightInd w:val="0"/>
        <w:snapToGrid w:val="0"/>
        <w:spacing w:line="276" w:lineRule="auto"/>
        <w:jc w:val="center"/>
        <w:rPr>
          <w:rFonts w:cs="华文楷体" w:asciiTheme="minorEastAsia" w:hAnsiTheme="minorEastAsia" w:eastAsiaTheme="minorEastAsia"/>
          <w:b/>
          <w:color w:val="000000" w:themeColor="text1"/>
          <w:sz w:val="96"/>
          <w:szCs w:val="120"/>
        </w:rPr>
      </w:pPr>
      <w:r>
        <w:rPr>
          <w:rFonts w:hint="eastAsia" w:cs="华文楷体" w:asciiTheme="minorEastAsia" w:hAnsiTheme="minorEastAsia" w:eastAsiaTheme="minorEastAsia"/>
          <w:b/>
          <w:color w:val="000000" w:themeColor="text1"/>
          <w:sz w:val="96"/>
          <w:szCs w:val="120"/>
        </w:rPr>
        <w:t>文</w:t>
      </w:r>
    </w:p>
    <w:p w14:paraId="19369E6B">
      <w:pPr>
        <w:adjustRightInd w:val="0"/>
        <w:snapToGrid w:val="0"/>
        <w:spacing w:line="276" w:lineRule="auto"/>
        <w:jc w:val="center"/>
        <w:rPr>
          <w:rFonts w:cs="华文楷体" w:asciiTheme="minorEastAsia" w:hAnsiTheme="minorEastAsia" w:eastAsiaTheme="minorEastAsia"/>
          <w:b/>
          <w:color w:val="000000" w:themeColor="text1"/>
          <w:sz w:val="96"/>
          <w:szCs w:val="144"/>
        </w:rPr>
      </w:pPr>
      <w:r>
        <w:rPr>
          <w:rFonts w:hint="eastAsia" w:cs="华文楷体" w:asciiTheme="minorEastAsia" w:hAnsiTheme="minorEastAsia" w:eastAsiaTheme="minorEastAsia"/>
          <w:b/>
          <w:color w:val="000000" w:themeColor="text1"/>
          <w:sz w:val="96"/>
          <w:szCs w:val="120"/>
        </w:rPr>
        <w:t>件</w:t>
      </w:r>
    </w:p>
    <w:p w14:paraId="6F2BD6DB">
      <w:pPr>
        <w:ind w:left="3192" w:leftChars="1520" w:firstLine="6076" w:firstLineChars="1899"/>
        <w:rPr>
          <w:rFonts w:cs="华文楷体" w:asciiTheme="minorEastAsia" w:hAnsiTheme="minorEastAsia" w:eastAsiaTheme="minorEastAsia"/>
          <w:color w:val="000000" w:themeColor="text1"/>
          <w:sz w:val="32"/>
        </w:rPr>
      </w:pPr>
    </w:p>
    <w:p w14:paraId="40B1D6CB">
      <w:pPr>
        <w:pStyle w:val="7"/>
        <w:ind w:firstLine="560"/>
      </w:pPr>
    </w:p>
    <w:p w14:paraId="6D666396"/>
    <w:p w14:paraId="459B6BF3">
      <w:pPr>
        <w:pStyle w:val="7"/>
        <w:ind w:firstLine="560"/>
      </w:pPr>
    </w:p>
    <w:p w14:paraId="72CA7B83">
      <w:pPr>
        <w:ind w:left="3192" w:leftChars="1520" w:firstLine="6076" w:firstLineChars="1899"/>
        <w:rPr>
          <w:rFonts w:cs="华文楷体" w:asciiTheme="minorEastAsia" w:hAnsiTheme="minorEastAsia" w:eastAsiaTheme="minorEastAsia"/>
          <w:color w:val="000000" w:themeColor="text1"/>
          <w:sz w:val="32"/>
        </w:rPr>
      </w:pPr>
    </w:p>
    <w:p w14:paraId="6BC41606">
      <w:pPr>
        <w:ind w:firstLine="3040" w:firstLineChars="950"/>
        <w:rPr>
          <w:rFonts w:cs="华文楷体" w:asciiTheme="minorEastAsia" w:hAnsiTheme="minorEastAsia" w:eastAsiaTheme="minorEastAsia"/>
          <w:color w:val="000000" w:themeColor="text1"/>
          <w:sz w:val="32"/>
        </w:rPr>
      </w:pPr>
      <w:r>
        <w:rPr>
          <w:rFonts w:cs="华文楷体" w:asciiTheme="minorEastAsia" w:hAnsiTheme="minorEastAsia" w:eastAsiaTheme="minorEastAsia"/>
          <w:color w:val="000000" w:themeColor="text1"/>
          <w:sz w:val="32"/>
        </w:rPr>
        <w:t>江苏师范大学招标</w:t>
      </w:r>
      <w:r>
        <w:rPr>
          <w:rFonts w:hint="eastAsia" w:cs="华文楷体" w:asciiTheme="minorEastAsia" w:hAnsiTheme="minorEastAsia" w:eastAsiaTheme="minorEastAsia"/>
          <w:color w:val="000000" w:themeColor="text1"/>
          <w:sz w:val="32"/>
        </w:rPr>
        <w:t>办公室</w:t>
      </w:r>
    </w:p>
    <w:p w14:paraId="15C65F1D">
      <w:pPr>
        <w:ind w:firstLine="3520" w:firstLineChars="1100"/>
        <w:rPr>
          <w:rFonts w:cs="华文楷体" w:asciiTheme="minorEastAsia" w:hAnsiTheme="minorEastAsia" w:eastAsiaTheme="minorEastAsia"/>
          <w:color w:val="000000" w:themeColor="text1"/>
          <w:sz w:val="32"/>
          <w:shd w:val="clear" w:color="auto" w:fill="FFFFFF" w:themeFill="background1"/>
        </w:rPr>
      </w:pPr>
      <w:r>
        <w:rPr>
          <w:rFonts w:hint="eastAsia" w:cs="华文楷体" w:asciiTheme="minorEastAsia" w:hAnsiTheme="minorEastAsia" w:eastAsiaTheme="minorEastAsia"/>
          <w:color w:val="000000" w:themeColor="text1"/>
          <w:sz w:val="32"/>
          <w:shd w:val="clear" w:color="auto" w:fill="FFFFFF" w:themeFill="background1"/>
        </w:rPr>
        <w:t>2024年12月</w:t>
      </w:r>
      <w:r>
        <w:rPr>
          <w:rFonts w:cs="华文楷体" w:asciiTheme="minorEastAsia" w:hAnsiTheme="minorEastAsia" w:eastAsiaTheme="minorEastAsia"/>
          <w:color w:val="000000" w:themeColor="text1"/>
          <w:sz w:val="32"/>
          <w:shd w:val="clear" w:color="auto" w:fill="FFFFFF" w:themeFill="background1"/>
        </w:rPr>
        <w:t>27</w:t>
      </w:r>
      <w:r>
        <w:rPr>
          <w:rFonts w:hint="eastAsia" w:cs="华文楷体" w:asciiTheme="minorEastAsia" w:hAnsiTheme="minorEastAsia" w:eastAsiaTheme="minorEastAsia"/>
          <w:color w:val="000000" w:themeColor="text1"/>
          <w:sz w:val="32"/>
          <w:shd w:val="clear" w:color="auto" w:fill="FFFFFF" w:themeFill="background1"/>
        </w:rPr>
        <w:t>日</w:t>
      </w:r>
    </w:p>
    <w:p w14:paraId="5527F646">
      <w:pPr>
        <w:ind w:firstLine="3520" w:firstLineChars="1100"/>
        <w:rPr>
          <w:rFonts w:cs="华文楷体" w:asciiTheme="minorEastAsia" w:hAnsiTheme="minorEastAsia" w:eastAsiaTheme="minorEastAsia"/>
          <w:color w:val="000000" w:themeColor="text1"/>
          <w:sz w:val="32"/>
          <w:shd w:val="clear" w:color="auto" w:fill="FFC000"/>
        </w:rPr>
      </w:pPr>
    </w:p>
    <w:p w14:paraId="68651840">
      <w:pPr>
        <w:ind w:firstLine="3520" w:firstLineChars="1100"/>
        <w:rPr>
          <w:rFonts w:cs="华文楷体" w:asciiTheme="minorEastAsia" w:hAnsiTheme="minorEastAsia" w:eastAsiaTheme="minorEastAsia"/>
          <w:color w:val="000000" w:themeColor="text1"/>
          <w:sz w:val="32"/>
          <w:shd w:val="clear" w:color="auto" w:fill="FFC000"/>
        </w:rPr>
      </w:pPr>
    </w:p>
    <w:p w14:paraId="2CFC73EB">
      <w:pPr>
        <w:pStyle w:val="47"/>
        <w:numPr>
          <w:ilvl w:val="0"/>
          <w:numId w:val="0"/>
        </w:numPr>
        <w:spacing w:before="0" w:after="0" w:line="400" w:lineRule="exact"/>
        <w:outlineLvl w:val="9"/>
        <w:rPr>
          <w:rFonts w:cs="华文楷体" w:asciiTheme="minorEastAsia" w:hAnsiTheme="minorEastAsia" w:eastAsiaTheme="minorEastAsia"/>
          <w:color w:val="000000" w:themeColor="text1"/>
        </w:rPr>
      </w:pPr>
      <w:r>
        <w:rPr>
          <w:rFonts w:hint="eastAsia" w:cs="华文楷体" w:asciiTheme="minorEastAsia" w:hAnsiTheme="minorEastAsia" w:eastAsiaTheme="minorEastAsia"/>
          <w:b w:val="0"/>
          <w:bCs w:val="0"/>
          <w:color w:val="000000" w:themeColor="text1"/>
        </w:rPr>
        <w:t>第一</w:t>
      </w:r>
      <w:r>
        <w:rPr>
          <w:rFonts w:hint="eastAsia" w:cs="华文楷体" w:asciiTheme="minorEastAsia" w:hAnsiTheme="minorEastAsia" w:eastAsiaTheme="minorEastAsia"/>
          <w:color w:val="000000" w:themeColor="text1"/>
        </w:rPr>
        <w:t>章  总 则</w:t>
      </w:r>
    </w:p>
    <w:p w14:paraId="2FB732C4">
      <w:pPr>
        <w:pStyle w:val="47"/>
        <w:numPr>
          <w:ilvl w:val="0"/>
          <w:numId w:val="0"/>
        </w:numPr>
        <w:spacing w:before="0" w:after="0" w:line="400" w:lineRule="exact"/>
        <w:jc w:val="both"/>
        <w:outlineLvl w:val="9"/>
        <w:rPr>
          <w:rFonts w:cs="华文楷体" w:asciiTheme="minorEastAsia" w:hAnsiTheme="minorEastAsia" w:eastAsiaTheme="minorEastAsia"/>
          <w:color w:val="000000" w:themeColor="text1"/>
        </w:rPr>
      </w:pPr>
    </w:p>
    <w:p w14:paraId="60BACDEE">
      <w:pPr>
        <w:pStyle w:val="43"/>
        <w:rPr>
          <w:bCs/>
        </w:rPr>
      </w:pPr>
      <w:r>
        <w:rPr>
          <w:rFonts w:hint="eastAsia"/>
        </w:rPr>
        <w:t>一、磋商文件</w:t>
      </w:r>
    </w:p>
    <w:p w14:paraId="1D4DA87C">
      <w:pPr>
        <w:pStyle w:val="41"/>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1.供应商应详细阅读磋商文件的全部内容。</w:t>
      </w:r>
    </w:p>
    <w:p w14:paraId="7A9720DF">
      <w:pPr>
        <w:pStyle w:val="41"/>
        <w:numPr>
          <w:ilvl w:val="0"/>
          <w:numId w:val="0"/>
        </w:numPr>
        <w:spacing w:line="340" w:lineRule="exact"/>
        <w:ind w:firstLine="472" w:firstLineChars="196"/>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2.磋商文件的澄清</w:t>
      </w:r>
    </w:p>
    <w:p w14:paraId="376F440B">
      <w:pPr>
        <w:pStyle w:val="41"/>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供应商</w:t>
      </w:r>
      <w:r>
        <w:rPr>
          <w:rFonts w:hint="eastAsia" w:cs="华文楷体" w:asciiTheme="minorEastAsia" w:hAnsiTheme="minorEastAsia" w:eastAsiaTheme="minorEastAsia"/>
          <w:color w:val="000000" w:themeColor="text1"/>
          <w:sz w:val="24"/>
          <w:szCs w:val="24"/>
          <w:lang w:val="en-US" w:eastAsia="zh-CN"/>
        </w:rPr>
        <w:t>要求对磋商文件进行</w:t>
      </w:r>
      <w:r>
        <w:rPr>
          <w:rFonts w:hint="eastAsia" w:cs="华文楷体" w:asciiTheme="minorEastAsia" w:hAnsiTheme="minorEastAsia" w:eastAsiaTheme="minorEastAsia"/>
          <w:color w:val="000000" w:themeColor="text1"/>
          <w:sz w:val="24"/>
          <w:szCs w:val="24"/>
        </w:rPr>
        <w:t>澄清的，可在</w:t>
      </w:r>
      <w:r>
        <w:rPr>
          <w:rFonts w:cs="华文楷体" w:asciiTheme="minorEastAsia" w:hAnsiTheme="minorEastAsia" w:eastAsiaTheme="minorEastAsia"/>
          <w:color w:val="000000" w:themeColor="text1"/>
          <w:sz w:val="24"/>
          <w:szCs w:val="24"/>
        </w:rPr>
        <w:t>2025</w:t>
      </w:r>
      <w:r>
        <w:rPr>
          <w:rFonts w:hint="eastAsia" w:cs="华文楷体" w:asciiTheme="minorEastAsia" w:hAnsiTheme="minorEastAsia" w:eastAsiaTheme="minorEastAsia"/>
          <w:color w:val="000000" w:themeColor="text1"/>
          <w:sz w:val="24"/>
          <w:szCs w:val="24"/>
        </w:rPr>
        <w:t>年</w:t>
      </w:r>
      <w:r>
        <w:rPr>
          <w:rFonts w:cs="华文楷体" w:asciiTheme="minorEastAsia" w:hAnsiTheme="minorEastAsia" w:eastAsiaTheme="minorEastAsia"/>
          <w:color w:val="000000" w:themeColor="text1"/>
          <w:sz w:val="24"/>
          <w:szCs w:val="24"/>
        </w:rPr>
        <w:t>1</w:t>
      </w:r>
      <w:r>
        <w:rPr>
          <w:rFonts w:hint="eastAsia" w:cs="华文楷体" w:asciiTheme="minorEastAsia" w:hAnsiTheme="minorEastAsia" w:eastAsiaTheme="minorEastAsia"/>
          <w:color w:val="000000" w:themeColor="text1"/>
          <w:sz w:val="24"/>
          <w:szCs w:val="24"/>
        </w:rPr>
        <w:t>月</w:t>
      </w:r>
      <w:r>
        <w:rPr>
          <w:rFonts w:hint="eastAsia" w:cs="华文楷体" w:asciiTheme="minorEastAsia" w:hAnsiTheme="minorEastAsia" w:eastAsiaTheme="minorEastAsia"/>
          <w:color w:val="000000" w:themeColor="text1"/>
          <w:sz w:val="24"/>
          <w:szCs w:val="24"/>
          <w:lang w:val="en-US" w:eastAsia="zh-CN"/>
        </w:rPr>
        <w:t>2</w:t>
      </w:r>
      <w:r>
        <w:rPr>
          <w:rFonts w:hint="eastAsia" w:cs="华文楷体" w:asciiTheme="minorEastAsia" w:hAnsiTheme="minorEastAsia" w:eastAsiaTheme="minorEastAsia"/>
          <w:color w:val="000000" w:themeColor="text1"/>
          <w:sz w:val="24"/>
          <w:szCs w:val="24"/>
        </w:rPr>
        <w:t>日16:00前以书面形式或传真方式递交到我校招标办（澄清函需加盖供应商公章），同时将电子版发送至招标办邮箱</w:t>
      </w:r>
      <w:r>
        <w:rPr>
          <w:rFonts w:hint="eastAsia" w:cs="华文楷体"/>
          <w:color w:val="000000"/>
          <w:sz w:val="24"/>
          <w:szCs w:val="24"/>
        </w:rPr>
        <w:t>zbb@jsnu.edu.cn</w:t>
      </w:r>
      <w:r>
        <w:rPr>
          <w:rFonts w:hint="eastAsia" w:cs="华文楷体" w:asciiTheme="minorEastAsia" w:hAnsiTheme="minorEastAsia" w:eastAsiaTheme="minorEastAsia"/>
          <w:color w:val="000000" w:themeColor="text1"/>
          <w:sz w:val="24"/>
          <w:szCs w:val="24"/>
        </w:rPr>
        <w:t>（电子版包括：澄清函图片格式的扫描件及澄清函内容对应的word文档）。澄清要求，逾期将不再受理。</w:t>
      </w:r>
    </w:p>
    <w:p w14:paraId="7E6FB175">
      <w:pPr>
        <w:pStyle w:val="41"/>
        <w:numPr>
          <w:ilvl w:val="0"/>
          <w:numId w:val="0"/>
        </w:numPr>
        <w:spacing w:line="340" w:lineRule="exact"/>
        <w:ind w:firstLine="472" w:firstLineChars="196"/>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3.磋商文件的修改</w:t>
      </w:r>
    </w:p>
    <w:p w14:paraId="643C2282">
      <w:pPr>
        <w:pStyle w:val="41"/>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3.1在</w:t>
      </w:r>
      <w:r>
        <w:rPr>
          <w:rFonts w:hint="eastAsia" w:cs="宋体"/>
          <w:sz w:val="24"/>
        </w:rPr>
        <w:t>首次响应文件提交截止时间的</w:t>
      </w:r>
      <w:r>
        <w:rPr>
          <w:rFonts w:hint="eastAsia" w:cs="华文楷体" w:asciiTheme="minorEastAsia" w:hAnsiTheme="minorEastAsia" w:eastAsiaTheme="minorEastAsia"/>
          <w:color w:val="000000" w:themeColor="text1"/>
          <w:sz w:val="24"/>
          <w:szCs w:val="24"/>
        </w:rPr>
        <w:t>5日以前任何时候，采购人无论出于何种原因，均可对</w:t>
      </w:r>
      <w:r>
        <w:rPr>
          <w:rFonts w:hint="eastAsia" w:cs="华文楷体" w:asciiTheme="minorEastAsia" w:hAnsiTheme="minorEastAsia" w:eastAsiaTheme="minorEastAsia"/>
          <w:color w:val="000000" w:themeColor="text1"/>
          <w:sz w:val="24"/>
          <w:szCs w:val="24"/>
          <w:lang w:val="en-US" w:eastAsia="zh-CN"/>
        </w:rPr>
        <w:t>磋商</w:t>
      </w:r>
      <w:r>
        <w:rPr>
          <w:rFonts w:hint="eastAsia" w:cs="华文楷体" w:asciiTheme="minorEastAsia" w:hAnsiTheme="minorEastAsia" w:eastAsiaTheme="minorEastAsia"/>
          <w:color w:val="000000" w:themeColor="text1"/>
          <w:sz w:val="24"/>
          <w:szCs w:val="24"/>
        </w:rPr>
        <w:t>文件用补充文件的方式进行修改。</w:t>
      </w:r>
    </w:p>
    <w:p w14:paraId="751DE997">
      <w:pPr>
        <w:pStyle w:val="41"/>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3.2对</w:t>
      </w:r>
      <w:r>
        <w:rPr>
          <w:rFonts w:hint="eastAsia" w:cs="华文楷体" w:asciiTheme="minorEastAsia" w:hAnsiTheme="minorEastAsia" w:eastAsiaTheme="minorEastAsia"/>
          <w:color w:val="000000" w:themeColor="text1"/>
          <w:sz w:val="24"/>
          <w:szCs w:val="24"/>
          <w:lang w:val="en-US" w:eastAsia="zh-CN"/>
        </w:rPr>
        <w:t>磋商</w:t>
      </w:r>
      <w:r>
        <w:rPr>
          <w:rFonts w:hint="eastAsia" w:cs="华文楷体" w:asciiTheme="minorEastAsia" w:hAnsiTheme="minorEastAsia" w:eastAsiaTheme="minorEastAsia"/>
          <w:color w:val="000000" w:themeColor="text1"/>
          <w:sz w:val="24"/>
          <w:szCs w:val="24"/>
        </w:rPr>
        <w:t>文件的修改，将通过</w:t>
      </w:r>
      <w:r>
        <w:rPr>
          <w:rFonts w:hint="eastAsia" w:cs="华文楷体" w:asciiTheme="minorEastAsia" w:hAnsiTheme="minorEastAsia" w:eastAsiaTheme="minorEastAsia"/>
          <w:color w:val="000000" w:themeColor="text1"/>
          <w:kern w:val="2"/>
          <w:sz w:val="24"/>
          <w:szCs w:val="24"/>
        </w:rPr>
        <w:t>“江苏师范大学招投标网”（http://ztbb.jsnu.edu.cn/）发布</w:t>
      </w:r>
      <w:r>
        <w:rPr>
          <w:rFonts w:hint="eastAsia" w:cs="华文楷体" w:asciiTheme="minorEastAsia" w:hAnsiTheme="minorEastAsia" w:eastAsiaTheme="minorEastAsia"/>
          <w:color w:val="000000" w:themeColor="text1"/>
          <w:sz w:val="24"/>
          <w:szCs w:val="24"/>
        </w:rPr>
        <w:t>公告。补充文件将作为</w:t>
      </w:r>
      <w:r>
        <w:rPr>
          <w:rFonts w:hint="eastAsia" w:cs="华文楷体" w:asciiTheme="minorEastAsia" w:hAnsiTheme="minorEastAsia" w:eastAsiaTheme="minorEastAsia"/>
          <w:color w:val="000000" w:themeColor="text1"/>
          <w:sz w:val="24"/>
          <w:szCs w:val="24"/>
          <w:lang w:val="en-US" w:eastAsia="zh-CN"/>
        </w:rPr>
        <w:t>磋商</w:t>
      </w:r>
      <w:r>
        <w:rPr>
          <w:rFonts w:hint="eastAsia" w:cs="华文楷体" w:asciiTheme="minorEastAsia" w:hAnsiTheme="minorEastAsia" w:eastAsiaTheme="minorEastAsia"/>
          <w:color w:val="000000" w:themeColor="text1"/>
          <w:sz w:val="24"/>
          <w:szCs w:val="24"/>
        </w:rPr>
        <w:t>文件的组成部分，对所有领取了</w:t>
      </w:r>
      <w:r>
        <w:rPr>
          <w:rFonts w:hint="eastAsia" w:cs="华文楷体" w:asciiTheme="minorEastAsia" w:hAnsiTheme="minorEastAsia" w:eastAsiaTheme="minorEastAsia"/>
          <w:color w:val="000000" w:themeColor="text1"/>
          <w:sz w:val="24"/>
          <w:szCs w:val="24"/>
          <w:lang w:val="en-US" w:eastAsia="zh-CN"/>
        </w:rPr>
        <w:t>磋商</w:t>
      </w:r>
      <w:r>
        <w:rPr>
          <w:rFonts w:hint="eastAsia" w:cs="华文楷体" w:asciiTheme="minorEastAsia" w:hAnsiTheme="minorEastAsia" w:eastAsiaTheme="minorEastAsia"/>
          <w:color w:val="000000" w:themeColor="text1"/>
          <w:sz w:val="24"/>
          <w:szCs w:val="24"/>
        </w:rPr>
        <w:t>文件的供应商均具有约束力。</w:t>
      </w:r>
    </w:p>
    <w:p w14:paraId="549F9194">
      <w:pPr>
        <w:pStyle w:val="41"/>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3.3为使供应商有足够的时间按采购文件的修改要求修正</w:t>
      </w:r>
      <w:r>
        <w:rPr>
          <w:rFonts w:hint="eastAsia" w:cs="华文楷体" w:asciiTheme="minorEastAsia" w:hAnsiTheme="minorEastAsia" w:eastAsiaTheme="minorEastAsia"/>
          <w:color w:val="000000" w:themeColor="text1"/>
          <w:sz w:val="24"/>
          <w:szCs w:val="24"/>
          <w:lang w:val="en-US" w:eastAsia="zh-CN"/>
        </w:rPr>
        <w:t>其</w:t>
      </w:r>
      <w:r>
        <w:rPr>
          <w:rFonts w:hint="eastAsia" w:cs="华文楷体" w:asciiTheme="minorEastAsia" w:hAnsiTheme="minorEastAsia" w:eastAsiaTheme="minorEastAsia"/>
          <w:color w:val="000000" w:themeColor="text1"/>
          <w:sz w:val="24"/>
          <w:szCs w:val="24"/>
        </w:rPr>
        <w:t>响应文件，采购人可酌情推迟提交</w:t>
      </w:r>
      <w:r>
        <w:rPr>
          <w:rFonts w:hint="eastAsia" w:cs="华文楷体" w:asciiTheme="minorEastAsia" w:hAnsiTheme="minorEastAsia" w:eastAsiaTheme="minorEastAsia"/>
          <w:color w:val="000000" w:themeColor="text1"/>
          <w:sz w:val="24"/>
          <w:szCs w:val="24"/>
          <w:lang w:val="en-US" w:eastAsia="zh-CN"/>
        </w:rPr>
        <w:t>响应文件</w:t>
      </w:r>
      <w:r>
        <w:rPr>
          <w:rFonts w:hint="eastAsia" w:cs="华文楷体" w:asciiTheme="minorEastAsia" w:hAnsiTheme="minorEastAsia" w:eastAsiaTheme="minorEastAsia"/>
          <w:color w:val="000000" w:themeColor="text1"/>
          <w:sz w:val="24"/>
          <w:szCs w:val="24"/>
        </w:rPr>
        <w:t>的截止日期，并将具体变更情况通过</w:t>
      </w:r>
      <w:r>
        <w:rPr>
          <w:rFonts w:hint="eastAsia" w:cs="华文楷体" w:asciiTheme="minorEastAsia" w:hAnsiTheme="minorEastAsia" w:eastAsiaTheme="minorEastAsia"/>
          <w:color w:val="000000" w:themeColor="text1"/>
          <w:kern w:val="2"/>
          <w:sz w:val="24"/>
          <w:szCs w:val="24"/>
        </w:rPr>
        <w:t xml:space="preserve"> “江苏师范大学招投标网”</w:t>
      </w:r>
      <w:r>
        <w:rPr>
          <w:rFonts w:hint="eastAsia" w:cs="华文楷体" w:asciiTheme="minorEastAsia" w:hAnsiTheme="minorEastAsia" w:eastAsiaTheme="minorEastAsia"/>
          <w:color w:val="000000" w:themeColor="text1"/>
          <w:sz w:val="24"/>
          <w:szCs w:val="24"/>
        </w:rPr>
        <w:t>公告。</w:t>
      </w:r>
    </w:p>
    <w:p w14:paraId="4D8BBC23">
      <w:pPr>
        <w:pStyle w:val="41"/>
        <w:numPr>
          <w:ilvl w:val="0"/>
          <w:numId w:val="0"/>
        </w:numPr>
        <w:spacing w:line="340" w:lineRule="exact"/>
        <w:ind w:firstLine="472" w:firstLineChars="196"/>
        <w:rPr>
          <w:rFonts w:cs="华文楷体" w:asciiTheme="minorEastAsia" w:hAnsiTheme="minorEastAsia" w:eastAsiaTheme="minorEastAsia"/>
          <w:b/>
          <w:sz w:val="24"/>
          <w:szCs w:val="24"/>
        </w:rPr>
      </w:pPr>
      <w:r>
        <w:rPr>
          <w:rFonts w:hint="eastAsia" w:cs="华文楷体" w:asciiTheme="minorEastAsia" w:hAnsiTheme="minorEastAsia" w:eastAsiaTheme="minorEastAsia"/>
          <w:b/>
          <w:color w:val="000000" w:themeColor="text1"/>
          <w:sz w:val="24"/>
          <w:szCs w:val="24"/>
        </w:rPr>
        <w:t>4.</w:t>
      </w:r>
      <w:r>
        <w:rPr>
          <w:rFonts w:hint="eastAsia" w:cs="华文楷体" w:asciiTheme="minorEastAsia" w:hAnsiTheme="minorEastAsia" w:eastAsiaTheme="minorEastAsia"/>
          <w:b/>
          <w:sz w:val="24"/>
          <w:szCs w:val="24"/>
        </w:rPr>
        <w:t xml:space="preserve"> 通知</w:t>
      </w:r>
    </w:p>
    <w:p w14:paraId="12F025E0">
      <w:pPr>
        <w:pStyle w:val="41"/>
        <w:numPr>
          <w:ilvl w:val="0"/>
          <w:numId w:val="0"/>
        </w:numPr>
        <w:spacing w:line="340" w:lineRule="exact"/>
        <w:ind w:firstLine="480" w:firstLineChars="200"/>
        <w:rPr>
          <w:rFonts w:cs="华文楷体" w:asciiTheme="minorEastAsia" w:hAnsiTheme="minorEastAsia" w:eastAsiaTheme="minorEastAsia"/>
          <w:sz w:val="24"/>
          <w:szCs w:val="24"/>
          <w:shd w:val="clear" w:color="auto" w:fill="FFFFFF" w:themeFill="background1"/>
        </w:rPr>
      </w:pPr>
      <w:r>
        <w:rPr>
          <w:rFonts w:hint="eastAsia" w:cs="华文楷体" w:asciiTheme="minorEastAsia" w:hAnsiTheme="minorEastAsia" w:eastAsiaTheme="minorEastAsia"/>
          <w:sz w:val="24"/>
          <w:szCs w:val="24"/>
        </w:rPr>
        <w:t>对与本项目有关的通知，采购人将通过 “江苏师范大学招投标网”发布公告，请供应商</w:t>
      </w:r>
      <w:r>
        <w:rPr>
          <w:rFonts w:hint="eastAsia" w:cs="华文楷体" w:asciiTheme="minorEastAsia" w:hAnsiTheme="minorEastAsia" w:eastAsiaTheme="minorEastAsia"/>
          <w:sz w:val="24"/>
          <w:szCs w:val="24"/>
          <w:shd w:val="clear" w:color="auto" w:fill="FFFFFF" w:themeFill="background1"/>
        </w:rPr>
        <w:t>自行关注。</w:t>
      </w:r>
    </w:p>
    <w:p w14:paraId="0E290B22">
      <w:pPr>
        <w:pStyle w:val="41"/>
        <w:numPr>
          <w:ilvl w:val="0"/>
          <w:numId w:val="0"/>
        </w:numPr>
        <w:spacing w:line="340" w:lineRule="exact"/>
        <w:ind w:firstLine="482" w:firstLineChars="200"/>
        <w:rPr>
          <w:rFonts w:cs="华文楷体" w:asciiTheme="minorEastAsia" w:hAnsiTheme="minorEastAsia" w:eastAsiaTheme="minorEastAsia"/>
          <w:sz w:val="24"/>
          <w:szCs w:val="24"/>
          <w:shd w:val="clear" w:color="auto" w:fill="FFFFFF" w:themeFill="background1"/>
        </w:rPr>
      </w:pPr>
      <w:r>
        <w:rPr>
          <w:rFonts w:hint="eastAsia" w:cs="华文楷体" w:asciiTheme="minorEastAsia" w:hAnsiTheme="minorEastAsia" w:eastAsiaTheme="minorEastAsia"/>
          <w:b/>
          <w:sz w:val="24"/>
          <w:shd w:val="clear" w:color="auto" w:fill="FFFFFF" w:themeFill="background1"/>
        </w:rPr>
        <w:t>5.付款方式：</w:t>
      </w:r>
      <w:r>
        <w:rPr>
          <w:rFonts w:hint="eastAsia" w:cs="华文楷体" w:asciiTheme="minorEastAsia" w:hAnsiTheme="minorEastAsia" w:eastAsiaTheme="minorEastAsia"/>
          <w:sz w:val="24"/>
          <w:szCs w:val="24"/>
        </w:rPr>
        <w:t>项目验收合格后，分2年支付货款，每年支付50%的货款。</w:t>
      </w:r>
    </w:p>
    <w:p w14:paraId="11D708BB">
      <w:pPr>
        <w:pStyle w:val="13"/>
        <w:shd w:val="clear" w:color="auto" w:fill="FFFFFF"/>
        <w:spacing w:before="45" w:beforeAutospacing="0" w:after="45" w:afterAutospacing="0" w:line="315" w:lineRule="atLeast"/>
        <w:ind w:firstLine="482" w:firstLineChars="200"/>
        <w:rPr>
          <w:rFonts w:eastAsiaTheme="minorEastAsia"/>
          <w:bCs/>
          <w:szCs w:val="22"/>
        </w:rPr>
      </w:pPr>
      <w:r>
        <w:rPr>
          <w:rFonts w:hint="eastAsia" w:cs="华文楷体" w:asciiTheme="minorEastAsia" w:hAnsiTheme="minorEastAsia" w:eastAsiaTheme="minorEastAsia"/>
          <w:b/>
          <w:shd w:val="clear" w:color="auto" w:fill="FFFFFF" w:themeFill="background1"/>
        </w:rPr>
        <w:t>6.采购预算金额（最高限价）：</w:t>
      </w:r>
      <w:r>
        <w:rPr>
          <w:rFonts w:hint="eastAsia" w:eastAsiaTheme="minorEastAsia"/>
          <w:bCs/>
          <w:szCs w:val="22"/>
        </w:rPr>
        <w:t>25万元（人民币）。</w:t>
      </w:r>
    </w:p>
    <w:p w14:paraId="7FA7D201">
      <w:pPr>
        <w:pStyle w:val="13"/>
        <w:shd w:val="clear" w:color="auto" w:fill="FFFFFF"/>
        <w:spacing w:before="45" w:beforeAutospacing="0" w:after="45" w:afterAutospacing="0" w:line="315" w:lineRule="atLeast"/>
        <w:ind w:firstLine="482" w:firstLineChars="200"/>
        <w:rPr>
          <w:rFonts w:eastAsiaTheme="minorEastAsia"/>
          <w:bCs/>
          <w:szCs w:val="22"/>
        </w:rPr>
      </w:pPr>
      <w:r>
        <w:rPr>
          <w:rFonts w:hint="eastAsia" w:eastAsiaTheme="minorEastAsia"/>
          <w:b/>
          <w:bCs/>
          <w:szCs w:val="22"/>
        </w:rPr>
        <w:t>7.供货期：</w:t>
      </w:r>
      <w:r>
        <w:rPr>
          <w:rFonts w:hint="eastAsia" w:eastAsiaTheme="minorEastAsia"/>
          <w:bCs/>
          <w:szCs w:val="22"/>
        </w:rPr>
        <w:t>合同签订后90日历天内完成供货、安装、调试等。具体由供应商自报。</w:t>
      </w:r>
    </w:p>
    <w:p w14:paraId="1B9E9DA6">
      <w:pPr>
        <w:pStyle w:val="13"/>
        <w:shd w:val="clear" w:color="auto" w:fill="FFFFFF"/>
        <w:spacing w:before="45" w:beforeAutospacing="0" w:after="45" w:afterAutospacing="0" w:line="315" w:lineRule="atLeast"/>
        <w:ind w:firstLine="482" w:firstLineChars="200"/>
        <w:rPr>
          <w:color w:val="000000"/>
        </w:rPr>
      </w:pPr>
      <w:r>
        <w:rPr>
          <w:rFonts w:hint="eastAsia" w:cs="华文楷体" w:asciiTheme="minorEastAsia" w:hAnsiTheme="minorEastAsia" w:eastAsiaTheme="minorEastAsia"/>
          <w:b/>
          <w:shd w:val="clear" w:color="auto" w:fill="FFFFFF" w:themeFill="background1"/>
        </w:rPr>
        <w:t>8.供应商资格条件</w:t>
      </w:r>
    </w:p>
    <w:p w14:paraId="4A6208A0">
      <w:pPr>
        <w:pStyle w:val="13"/>
        <w:shd w:val="clear" w:color="auto" w:fill="FFFFFF"/>
        <w:spacing w:before="45" w:beforeAutospacing="0" w:after="45" w:afterAutospacing="0" w:line="315" w:lineRule="atLeast"/>
        <w:ind w:firstLine="480" w:firstLineChars="200"/>
        <w:rPr>
          <w:rFonts w:ascii="微软雅黑" w:hAnsi="微软雅黑" w:eastAsia="微软雅黑"/>
          <w:color w:val="000000"/>
          <w:sz w:val="18"/>
          <w:szCs w:val="18"/>
        </w:rPr>
      </w:pPr>
      <w:r>
        <w:rPr>
          <w:rFonts w:hint="eastAsia"/>
          <w:color w:val="000000"/>
        </w:rPr>
        <w:t>8</w:t>
      </w:r>
      <w:r>
        <w:rPr>
          <w:color w:val="000000"/>
        </w:rPr>
        <w:t>.1</w:t>
      </w:r>
      <w:r>
        <w:rPr>
          <w:rFonts w:hint="eastAsia"/>
          <w:color w:val="000000"/>
        </w:rPr>
        <w:t>具有独立承担民事责任的能力；</w:t>
      </w:r>
    </w:p>
    <w:p w14:paraId="79A164DA">
      <w:pPr>
        <w:pStyle w:val="13"/>
        <w:shd w:val="clear" w:color="auto" w:fill="FFFFFF"/>
        <w:spacing w:before="45" w:beforeAutospacing="0" w:after="45" w:afterAutospacing="0" w:line="315" w:lineRule="atLeast"/>
        <w:ind w:firstLine="480" w:firstLineChars="200"/>
        <w:rPr>
          <w:color w:val="000000"/>
        </w:rPr>
      </w:pPr>
      <w:r>
        <w:rPr>
          <w:rFonts w:hint="eastAsia"/>
          <w:color w:val="000000"/>
        </w:rPr>
        <w:t>8</w:t>
      </w:r>
      <w:r>
        <w:rPr>
          <w:color w:val="000000"/>
        </w:rPr>
        <w:t>.2</w:t>
      </w:r>
      <w:r>
        <w:rPr>
          <w:rFonts w:hint="eastAsia"/>
          <w:color w:val="000000"/>
        </w:rPr>
        <w:t>具有良好的商业信誉和健全的财务会计制度；</w:t>
      </w:r>
    </w:p>
    <w:p w14:paraId="4D1F36AB">
      <w:pPr>
        <w:pStyle w:val="13"/>
        <w:shd w:val="clear" w:color="auto" w:fill="FFFFFF"/>
        <w:spacing w:before="45" w:beforeAutospacing="0" w:after="45" w:afterAutospacing="0" w:line="315" w:lineRule="atLeast"/>
        <w:ind w:firstLine="480" w:firstLineChars="200"/>
        <w:rPr>
          <w:color w:val="000000"/>
        </w:rPr>
      </w:pPr>
      <w:r>
        <w:rPr>
          <w:rFonts w:hint="eastAsia"/>
          <w:color w:val="000000"/>
        </w:rPr>
        <w:t>8</w:t>
      </w:r>
      <w:r>
        <w:rPr>
          <w:color w:val="000000"/>
        </w:rPr>
        <w:t>.3</w:t>
      </w:r>
      <w:r>
        <w:rPr>
          <w:rFonts w:hint="eastAsia"/>
          <w:color w:val="000000"/>
        </w:rPr>
        <w:t>具有履行合同所必需的设备和专业技术能力；</w:t>
      </w:r>
    </w:p>
    <w:p w14:paraId="7EA87407">
      <w:pPr>
        <w:pStyle w:val="13"/>
        <w:shd w:val="clear" w:color="auto" w:fill="FFFFFF"/>
        <w:spacing w:before="45" w:beforeAutospacing="0" w:after="45" w:afterAutospacing="0" w:line="315" w:lineRule="atLeast"/>
        <w:ind w:firstLine="480" w:firstLineChars="200"/>
        <w:rPr>
          <w:color w:val="000000"/>
        </w:rPr>
      </w:pPr>
      <w:r>
        <w:rPr>
          <w:rFonts w:hint="eastAsia"/>
          <w:color w:val="000000"/>
        </w:rPr>
        <w:t>8</w:t>
      </w:r>
      <w:r>
        <w:rPr>
          <w:color w:val="000000"/>
        </w:rPr>
        <w:t>.4</w:t>
      </w:r>
      <w:r>
        <w:rPr>
          <w:rFonts w:hint="eastAsia"/>
          <w:color w:val="000000"/>
        </w:rPr>
        <w:t>依法缴纳税收和社会保障资金；</w:t>
      </w:r>
    </w:p>
    <w:p w14:paraId="50E57552">
      <w:pPr>
        <w:pStyle w:val="13"/>
        <w:shd w:val="clear" w:color="auto" w:fill="FFFFFF"/>
        <w:spacing w:before="45" w:beforeAutospacing="0" w:after="45" w:afterAutospacing="0" w:line="315" w:lineRule="atLeast"/>
        <w:ind w:firstLine="480" w:firstLineChars="200"/>
        <w:rPr>
          <w:color w:val="000000"/>
        </w:rPr>
      </w:pPr>
      <w:r>
        <w:rPr>
          <w:rFonts w:hint="eastAsia"/>
          <w:color w:val="000000"/>
        </w:rPr>
        <w:t>8</w:t>
      </w:r>
      <w:r>
        <w:rPr>
          <w:color w:val="000000"/>
        </w:rPr>
        <w:t>.5</w:t>
      </w:r>
      <w:r>
        <w:rPr>
          <w:rFonts w:hint="eastAsia"/>
          <w:color w:val="000000"/>
        </w:rPr>
        <w:t>符合法律、行政法规规定的其他条件；</w:t>
      </w:r>
    </w:p>
    <w:p w14:paraId="09C45AFC">
      <w:pPr>
        <w:pStyle w:val="13"/>
        <w:shd w:val="clear" w:color="auto" w:fill="FFFFFF"/>
        <w:spacing w:before="45" w:beforeAutospacing="0" w:after="45" w:afterAutospacing="0" w:line="315" w:lineRule="atLeast"/>
        <w:ind w:firstLine="480" w:firstLineChars="200"/>
        <w:rPr>
          <w:color w:val="000000"/>
        </w:rPr>
      </w:pPr>
      <w:r>
        <w:rPr>
          <w:rFonts w:hint="eastAsia"/>
          <w:color w:val="000000"/>
        </w:rPr>
        <w:t>8</w:t>
      </w:r>
      <w:r>
        <w:rPr>
          <w:color w:val="000000"/>
        </w:rPr>
        <w:t>.6</w:t>
      </w:r>
      <w:r>
        <w:rPr>
          <w:rFonts w:hint="eastAsia"/>
          <w:color w:val="000000"/>
        </w:rPr>
        <w:t>不接受联合体参与采购活动，单位负责人为同一人或者存在控股、管理关系的不同供应商不得参加</w:t>
      </w:r>
      <w:r>
        <w:rPr>
          <w:rFonts w:hint="eastAsia"/>
        </w:rPr>
        <w:t>同一合同项下的采购活动</w:t>
      </w:r>
      <w:r>
        <w:rPr>
          <w:rFonts w:hint="eastAsia"/>
          <w:color w:val="000000"/>
        </w:rPr>
        <w:t>。</w:t>
      </w:r>
    </w:p>
    <w:p w14:paraId="2AB0C6CD">
      <w:pPr>
        <w:ind w:firstLine="499"/>
        <w:rPr>
          <w:color w:val="000000"/>
        </w:rPr>
      </w:pPr>
      <w:r>
        <w:rPr>
          <w:rFonts w:hint="eastAsia" w:ascii="宋体" w:hAnsi="宋体" w:cs="宋体"/>
          <w:sz w:val="24"/>
        </w:rPr>
        <w:t>（注：对列入失信被执行人、重大税收违法案件当事人名单、严重违法失信行为记录名单及其他不符合相关法规规定条件的供应商，采购人将拒绝其参与采购活动。）</w:t>
      </w:r>
    </w:p>
    <w:p w14:paraId="071DD92D">
      <w:pPr>
        <w:pStyle w:val="43"/>
      </w:pPr>
      <w:r>
        <w:rPr>
          <w:rFonts w:hint="eastAsia"/>
        </w:rPr>
        <w:t>二、响应文件</w:t>
      </w:r>
    </w:p>
    <w:p w14:paraId="023ADCB1">
      <w:pPr>
        <w:pStyle w:val="41"/>
        <w:numPr>
          <w:ilvl w:val="0"/>
          <w:numId w:val="0"/>
        </w:numPr>
        <w:spacing w:line="340" w:lineRule="exact"/>
        <w:ind w:firstLine="472" w:firstLineChars="196"/>
        <w:rPr>
          <w:rFonts w:cs="华文楷体" w:asciiTheme="minorEastAsia" w:hAnsiTheme="minorEastAsia" w:eastAsiaTheme="minorEastAsia"/>
          <w:b/>
          <w:sz w:val="24"/>
          <w:szCs w:val="24"/>
        </w:rPr>
      </w:pPr>
      <w:r>
        <w:rPr>
          <w:rFonts w:hint="eastAsia" w:cs="华文楷体" w:asciiTheme="minorEastAsia" w:hAnsiTheme="minorEastAsia" w:eastAsiaTheme="minorEastAsia"/>
          <w:b/>
          <w:sz w:val="24"/>
          <w:szCs w:val="24"/>
        </w:rPr>
        <w:t>1. 响应文件的语言和计量单位</w:t>
      </w:r>
    </w:p>
    <w:p w14:paraId="64E868EE">
      <w:pPr>
        <w:pStyle w:val="41"/>
        <w:numPr>
          <w:ilvl w:val="0"/>
          <w:numId w:val="0"/>
        </w:numPr>
        <w:spacing w:line="340" w:lineRule="exact"/>
        <w:ind w:firstLine="480" w:firstLineChars="200"/>
        <w:rPr>
          <w:rFonts w:cs="华文楷体" w:asciiTheme="minorEastAsia" w:hAnsiTheme="minorEastAsia" w:eastAsiaTheme="minorEastAsia"/>
          <w:sz w:val="24"/>
          <w:szCs w:val="24"/>
        </w:rPr>
      </w:pPr>
      <w:r>
        <w:rPr>
          <w:rFonts w:hint="eastAsia" w:cs="华文楷体" w:asciiTheme="minorEastAsia" w:hAnsiTheme="minorEastAsia" w:eastAsiaTheme="minorEastAsia"/>
          <w:sz w:val="24"/>
          <w:szCs w:val="24"/>
        </w:rPr>
        <w:t>1.1响应人所提供的响应文件</w:t>
      </w:r>
      <w:r>
        <w:rPr>
          <w:rFonts w:hint="eastAsia" w:cs="华文楷体" w:asciiTheme="minorEastAsia" w:hAnsiTheme="minorEastAsia" w:eastAsiaTheme="minorEastAsia"/>
          <w:sz w:val="24"/>
          <w:szCs w:val="24"/>
          <w:lang w:val="en-US" w:eastAsia="zh-CN"/>
        </w:rPr>
        <w:t>须</w:t>
      </w:r>
      <w:r>
        <w:rPr>
          <w:rFonts w:hint="eastAsia" w:cs="华文楷体" w:asciiTheme="minorEastAsia" w:hAnsiTheme="minorEastAsia" w:eastAsiaTheme="minorEastAsia"/>
          <w:sz w:val="24"/>
          <w:szCs w:val="24"/>
        </w:rPr>
        <w:t>包含技术文件、有关资料、说明等，均应使用中文简化字。</w:t>
      </w:r>
    </w:p>
    <w:p w14:paraId="78FE323B">
      <w:pPr>
        <w:pStyle w:val="41"/>
        <w:numPr>
          <w:ilvl w:val="0"/>
          <w:numId w:val="0"/>
        </w:numPr>
        <w:spacing w:line="340" w:lineRule="exact"/>
        <w:ind w:firstLine="480" w:firstLineChars="200"/>
        <w:rPr>
          <w:rFonts w:cs="华文楷体" w:asciiTheme="minorEastAsia" w:hAnsiTheme="minorEastAsia" w:eastAsiaTheme="minorEastAsia"/>
          <w:sz w:val="24"/>
          <w:szCs w:val="24"/>
        </w:rPr>
      </w:pPr>
      <w:r>
        <w:rPr>
          <w:rFonts w:hint="eastAsia" w:cs="华文楷体" w:asciiTheme="minorEastAsia" w:hAnsiTheme="minorEastAsia" w:eastAsiaTheme="minorEastAsia"/>
          <w:sz w:val="24"/>
          <w:szCs w:val="24"/>
        </w:rPr>
        <w:t>1.2响应文件所使用的计量单位，均采用中华人民共和国法定计量单位。</w:t>
      </w:r>
    </w:p>
    <w:p w14:paraId="45B0CBC1">
      <w:pPr>
        <w:pStyle w:val="41"/>
        <w:numPr>
          <w:ilvl w:val="0"/>
          <w:numId w:val="0"/>
        </w:numPr>
        <w:spacing w:line="340" w:lineRule="exact"/>
        <w:ind w:firstLine="472" w:firstLineChars="196"/>
        <w:rPr>
          <w:rFonts w:cs="华文楷体" w:asciiTheme="minorEastAsia" w:hAnsiTheme="minorEastAsia" w:eastAsiaTheme="minorEastAsia"/>
          <w:b/>
          <w:sz w:val="24"/>
          <w:szCs w:val="24"/>
        </w:rPr>
      </w:pPr>
      <w:r>
        <w:rPr>
          <w:rFonts w:hint="eastAsia" w:cs="华文楷体" w:asciiTheme="minorEastAsia" w:hAnsiTheme="minorEastAsia" w:eastAsiaTheme="minorEastAsia"/>
          <w:b/>
          <w:sz w:val="24"/>
          <w:szCs w:val="24"/>
        </w:rPr>
        <w:t>2.响应文件的组成及相关要求</w:t>
      </w:r>
    </w:p>
    <w:p w14:paraId="52F25175">
      <w:pPr>
        <w:pStyle w:val="41"/>
        <w:numPr>
          <w:ilvl w:val="0"/>
          <w:numId w:val="0"/>
        </w:numPr>
        <w:tabs>
          <w:tab w:val="clear" w:pos="709"/>
        </w:tabs>
        <w:spacing w:line="340" w:lineRule="exact"/>
        <w:ind w:firstLine="480" w:firstLineChars="200"/>
        <w:rPr>
          <w:rFonts w:cs="华文楷体"/>
          <w:sz w:val="24"/>
          <w:szCs w:val="24"/>
        </w:rPr>
      </w:pPr>
      <w:r>
        <w:rPr>
          <w:rFonts w:hint="eastAsia" w:cs="华文楷体"/>
          <w:sz w:val="24"/>
          <w:szCs w:val="24"/>
        </w:rPr>
        <w:t>按本章“4</w:t>
      </w:r>
      <w:r>
        <w:rPr>
          <w:rFonts w:cs="华文楷体"/>
          <w:sz w:val="24"/>
          <w:szCs w:val="24"/>
        </w:rPr>
        <w:t>.</w:t>
      </w:r>
      <w:r>
        <w:rPr>
          <w:rFonts w:hint="eastAsia"/>
        </w:rPr>
        <w:t xml:space="preserve"> </w:t>
      </w:r>
      <w:r>
        <w:rPr>
          <w:rFonts w:hint="eastAsia" w:cs="华文楷体"/>
          <w:sz w:val="24"/>
          <w:szCs w:val="24"/>
        </w:rPr>
        <w:t>响应文件的编制”</w:t>
      </w:r>
      <w:r>
        <w:rPr>
          <w:rFonts w:hint="eastAsia" w:cs="华文楷体"/>
          <w:sz w:val="24"/>
          <w:szCs w:val="24"/>
          <w:lang w:val="en-US" w:eastAsia="zh-CN"/>
        </w:rPr>
        <w:t>的</w:t>
      </w:r>
      <w:r>
        <w:rPr>
          <w:rFonts w:hint="eastAsia" w:cs="华文楷体"/>
          <w:sz w:val="24"/>
          <w:szCs w:val="24"/>
        </w:rPr>
        <w:t>顺序</w:t>
      </w:r>
      <w:r>
        <w:rPr>
          <w:rFonts w:hint="eastAsia" w:cs="华文楷体"/>
          <w:sz w:val="24"/>
          <w:szCs w:val="24"/>
          <w:lang w:val="en-US" w:eastAsia="zh-CN"/>
        </w:rPr>
        <w:t>和要求</w:t>
      </w:r>
      <w:r>
        <w:rPr>
          <w:rFonts w:hint="eastAsia" w:cs="华文楷体"/>
          <w:sz w:val="24"/>
          <w:szCs w:val="24"/>
        </w:rPr>
        <w:t>编制。</w:t>
      </w:r>
    </w:p>
    <w:p w14:paraId="0F37C39D">
      <w:pPr>
        <w:pStyle w:val="41"/>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p>
    <w:p w14:paraId="5B0C7DC6">
      <w:pPr>
        <w:pStyle w:val="41"/>
        <w:numPr>
          <w:ilvl w:val="0"/>
          <w:numId w:val="0"/>
        </w:numPr>
        <w:spacing w:line="340" w:lineRule="exact"/>
        <w:ind w:firstLine="472" w:firstLineChars="196"/>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3.响应内容填写说明</w:t>
      </w:r>
    </w:p>
    <w:p w14:paraId="5A871809">
      <w:pPr>
        <w:pStyle w:val="41"/>
        <w:numPr>
          <w:ilvl w:val="0"/>
          <w:numId w:val="0"/>
        </w:numPr>
        <w:spacing w:line="340" w:lineRule="exact"/>
        <w:ind w:firstLine="480" w:firstLineChars="200"/>
        <w:rPr>
          <w:rFonts w:hint="eastAsia"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3.1供应商</w:t>
      </w:r>
      <w:r>
        <w:rPr>
          <w:rFonts w:hint="eastAsia" w:cs="华文楷体" w:asciiTheme="minorEastAsia" w:hAnsiTheme="minorEastAsia" w:eastAsiaTheme="minorEastAsia"/>
          <w:color w:val="000000" w:themeColor="text1"/>
          <w:sz w:val="24"/>
          <w:szCs w:val="24"/>
          <w:lang w:val="en-US" w:eastAsia="zh-CN"/>
        </w:rPr>
        <w:t>须</w:t>
      </w:r>
      <w:r>
        <w:rPr>
          <w:rFonts w:hint="eastAsia" w:cs="华文楷体" w:asciiTheme="minorEastAsia" w:hAnsiTheme="minorEastAsia" w:eastAsiaTheme="minorEastAsia"/>
          <w:color w:val="000000" w:themeColor="text1"/>
          <w:sz w:val="24"/>
          <w:szCs w:val="24"/>
        </w:rPr>
        <w:t>按</w:t>
      </w:r>
      <w:r>
        <w:rPr>
          <w:rFonts w:hint="eastAsia" w:cs="华文楷体" w:asciiTheme="minorEastAsia" w:hAnsiTheme="minorEastAsia" w:eastAsiaTheme="minorEastAsia"/>
          <w:color w:val="000000" w:themeColor="text1"/>
          <w:sz w:val="24"/>
          <w:szCs w:val="24"/>
          <w:lang w:val="en-US" w:eastAsia="zh-CN"/>
        </w:rPr>
        <w:t>磋商</w:t>
      </w:r>
      <w:r>
        <w:rPr>
          <w:rFonts w:hint="eastAsia" w:cs="华文楷体" w:asciiTheme="minorEastAsia" w:hAnsiTheme="minorEastAsia" w:eastAsiaTheme="minorEastAsia"/>
          <w:color w:val="000000" w:themeColor="text1"/>
          <w:sz w:val="24"/>
          <w:szCs w:val="24"/>
        </w:rPr>
        <w:t>文件的要求编制完整的响应文件。</w:t>
      </w:r>
    </w:p>
    <w:p w14:paraId="039578A5">
      <w:pPr>
        <w:pStyle w:val="41"/>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lang w:val="en-US" w:eastAsia="zh-CN"/>
        </w:rPr>
        <w:t>3.2磋商文件中对格式有要求的，响应文件须按格式逐项填写，不得有空项。</w:t>
      </w:r>
      <w:r>
        <w:rPr>
          <w:rFonts w:hint="eastAsia" w:cs="华文楷体"/>
          <w:sz w:val="24"/>
          <w:szCs w:val="24"/>
        </w:rPr>
        <w:t>无相应内容可填的项应填写“无”、“没有相应指标”等明确的回答文字。</w:t>
      </w:r>
      <w:r>
        <w:rPr>
          <w:rFonts w:hint="eastAsia" w:cs="华文楷体"/>
          <w:sz w:val="24"/>
          <w:szCs w:val="24"/>
          <w:lang w:val="en-US" w:eastAsia="zh-CN"/>
        </w:rPr>
        <w:t>资格条件中，因特殊原因不能提供的，须提交说明文件、截图等可以证明的材料。</w:t>
      </w:r>
    </w:p>
    <w:p w14:paraId="311FA326">
      <w:pPr>
        <w:pStyle w:val="41"/>
        <w:numPr>
          <w:ilvl w:val="0"/>
          <w:numId w:val="0"/>
        </w:numPr>
        <w:spacing w:line="340" w:lineRule="exact"/>
        <w:ind w:firstLine="480" w:firstLineChars="2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3.3供应商必须保证响应文件所提供的全部资料真实可靠，并接受采购人对其中任何资料进一步审查的要求。</w:t>
      </w:r>
    </w:p>
    <w:p w14:paraId="554FDAFD">
      <w:pPr>
        <w:adjustRightInd w:val="0"/>
        <w:snapToGrid w:val="0"/>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3.4磋商报价表要求按格式统一填写，不得自行增减内容。</w:t>
      </w:r>
    </w:p>
    <w:p w14:paraId="1B4A8EBA">
      <w:pPr>
        <w:pStyle w:val="41"/>
        <w:numPr>
          <w:ilvl w:val="0"/>
          <w:numId w:val="0"/>
        </w:numPr>
        <w:spacing w:line="340" w:lineRule="exact"/>
        <w:ind w:firstLine="480" w:firstLineChars="200"/>
        <w:rPr>
          <w:rFonts w:hint="eastAsia" w:cs="华文楷体" w:asciiTheme="minorEastAsia" w:hAnsiTheme="minorEastAsia" w:eastAsiaTheme="minorEastAsia"/>
          <w:color w:val="000000" w:themeColor="text1"/>
          <w:sz w:val="24"/>
          <w:szCs w:val="24"/>
          <w:lang w:eastAsia="zh-CN"/>
        </w:rPr>
      </w:pPr>
      <w:r>
        <w:rPr>
          <w:rFonts w:hint="eastAsia" w:cs="华文楷体" w:asciiTheme="minorEastAsia" w:hAnsiTheme="minorEastAsia" w:eastAsiaTheme="minorEastAsia"/>
          <w:color w:val="000000" w:themeColor="text1"/>
          <w:sz w:val="24"/>
          <w:szCs w:val="24"/>
        </w:rPr>
        <w:t>3.5响应文件须对采购文件中的内容做出实质性和完整的响应</w:t>
      </w:r>
      <w:r>
        <w:rPr>
          <w:rFonts w:hint="eastAsia" w:cs="华文楷体" w:asciiTheme="minorEastAsia" w:hAnsiTheme="minorEastAsia" w:eastAsiaTheme="minorEastAsia"/>
          <w:color w:val="000000" w:themeColor="text1"/>
          <w:sz w:val="24"/>
          <w:szCs w:val="24"/>
          <w:lang w:eastAsia="zh-CN"/>
        </w:rPr>
        <w:t>。</w:t>
      </w:r>
    </w:p>
    <w:p w14:paraId="10413AB9">
      <w:pPr>
        <w:pStyle w:val="41"/>
        <w:numPr>
          <w:ilvl w:val="0"/>
          <w:numId w:val="0"/>
        </w:numPr>
        <w:spacing w:line="340" w:lineRule="exact"/>
        <w:ind w:firstLine="482" w:firstLineChars="200"/>
        <w:rPr>
          <w:rFonts w:hint="eastAsia"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3.6本项目有二次报价环节，二次报价不得高于一次报价；二次报价为本项目最终报价。</w:t>
      </w:r>
    </w:p>
    <w:p w14:paraId="0D34E9C3">
      <w:pPr>
        <w:pStyle w:val="41"/>
        <w:numPr>
          <w:ilvl w:val="0"/>
          <w:numId w:val="0"/>
        </w:numPr>
        <w:ind w:firstLine="480" w:firstLineChars="200"/>
        <w:rPr>
          <w:rFonts w:hint="eastAsia" w:cs="华文楷体" w:asciiTheme="minorEastAsia" w:hAnsiTheme="minorEastAsia" w:eastAsiaTheme="minorEastAsia"/>
          <w:b/>
          <w:color w:val="000000" w:themeColor="text1"/>
          <w:sz w:val="24"/>
          <w:szCs w:val="24"/>
        </w:rPr>
      </w:pPr>
      <w:r>
        <w:rPr>
          <w:sz w:val="24"/>
          <w:szCs w:val="24"/>
        </w:rPr>
        <w:t>3.</w:t>
      </w:r>
      <w:r>
        <w:rPr>
          <w:rFonts w:hint="eastAsia"/>
          <w:sz w:val="24"/>
          <w:szCs w:val="24"/>
          <w:lang w:val="en-US" w:eastAsia="zh-CN"/>
        </w:rPr>
        <w:t>7磋商报价须</w:t>
      </w:r>
      <w:r>
        <w:rPr>
          <w:rFonts w:hint="eastAsia"/>
          <w:sz w:val="24"/>
          <w:szCs w:val="24"/>
        </w:rPr>
        <w:t>包含供应商成本、利润、其它费用和承担的风险等可能发生的一切费用。</w:t>
      </w:r>
    </w:p>
    <w:p w14:paraId="163473C8">
      <w:pPr>
        <w:pStyle w:val="41"/>
        <w:numPr>
          <w:ilvl w:val="0"/>
          <w:numId w:val="0"/>
        </w:numPr>
        <w:spacing w:line="340" w:lineRule="exact"/>
        <w:ind w:left="708" w:hanging="708" w:hangingChars="294"/>
        <w:rPr>
          <w:rFonts w:cs="华文楷体" w:asciiTheme="minorEastAsia" w:hAnsiTheme="minorEastAsia" w:eastAsiaTheme="minorEastAsia"/>
          <w:b/>
          <w:bCs/>
          <w:color w:val="000000" w:themeColor="text1"/>
          <w:sz w:val="24"/>
          <w:szCs w:val="24"/>
        </w:rPr>
      </w:pPr>
    </w:p>
    <w:p w14:paraId="3ABB8C91">
      <w:pPr>
        <w:pStyle w:val="41"/>
        <w:numPr>
          <w:ilvl w:val="0"/>
          <w:numId w:val="0"/>
        </w:numPr>
        <w:spacing w:line="340" w:lineRule="exact"/>
        <w:ind w:left="701" w:leftChars="228" w:hanging="222" w:hangingChars="92"/>
        <w:rPr>
          <w:rFonts w:cs="华文楷体" w:asciiTheme="minorEastAsia" w:hAnsiTheme="minorEastAsia" w:eastAsiaTheme="minorEastAsia"/>
          <w:b/>
          <w:sz w:val="24"/>
          <w:szCs w:val="24"/>
        </w:rPr>
      </w:pPr>
      <w:r>
        <w:rPr>
          <w:rFonts w:hint="eastAsia" w:cs="华文楷体" w:asciiTheme="minorEastAsia" w:hAnsiTheme="minorEastAsia" w:eastAsiaTheme="minorEastAsia"/>
          <w:b/>
          <w:sz w:val="24"/>
          <w:szCs w:val="24"/>
        </w:rPr>
        <w:t>4.响应文件的编制</w:t>
      </w:r>
    </w:p>
    <w:p w14:paraId="431979A3">
      <w:pPr>
        <w:pStyle w:val="41"/>
        <w:numPr>
          <w:ilvl w:val="0"/>
          <w:numId w:val="0"/>
        </w:numPr>
        <w:ind w:firstLine="482" w:firstLineChars="200"/>
        <w:rPr>
          <w:b/>
          <w:kern w:val="2"/>
          <w:sz w:val="24"/>
          <w:szCs w:val="24"/>
        </w:rPr>
      </w:pPr>
      <w:r>
        <w:rPr>
          <w:rFonts w:hint="eastAsia"/>
          <w:b/>
          <w:kern w:val="2"/>
          <w:sz w:val="24"/>
          <w:szCs w:val="24"/>
        </w:rPr>
        <w:t>供应商应按照以下顺序制作响应文件（标书）；响应文件有格式要求的（具体格式见“第三章 响应文件格式”）在制作响应文件时须按照采购文件提供的格式填写，无格式要求的供应商自行编制；混乱的编排以致响应文件被误读或采购方查找不到有效文件，后果由供应商承担。</w:t>
      </w:r>
    </w:p>
    <w:p w14:paraId="1CA0F89F">
      <w:pPr>
        <w:adjustRightInd w:val="0"/>
        <w:snapToGrid w:val="0"/>
        <w:spacing w:line="400" w:lineRule="exact"/>
        <w:ind w:firstLine="482" w:firstLineChars="200"/>
        <w:rPr>
          <w:rFonts w:ascii="宋体" w:hAnsi="宋体" w:cs="宋体"/>
          <w:b/>
          <w:sz w:val="24"/>
        </w:rPr>
      </w:pPr>
      <w:r>
        <w:rPr>
          <w:rFonts w:ascii="宋体" w:hAnsi="宋体" w:cs="宋体"/>
          <w:b/>
          <w:sz w:val="24"/>
        </w:rPr>
        <w:t>4.1</w:t>
      </w:r>
      <w:r>
        <w:rPr>
          <w:rFonts w:hint="eastAsia" w:ascii="宋体" w:hAnsi="宋体" w:cs="宋体"/>
          <w:b/>
          <w:sz w:val="24"/>
        </w:rPr>
        <w:t>供应商的资格证明文件（提供复印件加盖公章）：</w:t>
      </w:r>
    </w:p>
    <w:p w14:paraId="4EB156B5">
      <w:pPr>
        <w:pStyle w:val="7"/>
        <w:ind w:firstLine="562"/>
        <w:rPr>
          <w:b/>
          <w:color w:val="FF0000"/>
          <w:szCs w:val="28"/>
          <w:highlight w:val="yellow"/>
        </w:rPr>
      </w:pPr>
      <w:r>
        <w:rPr>
          <w:rFonts w:hint="eastAsia" w:ascii="宋体" w:hAnsi="宋体" w:eastAsia="宋体" w:cs="宋体"/>
          <w:b/>
          <w:color w:val="FF0000"/>
          <w:kern w:val="2"/>
          <w:szCs w:val="28"/>
          <w:highlight w:val="yellow"/>
        </w:rPr>
        <w:t>注意：以下（1）-（6）必须提供，否则按响应无效处理。</w:t>
      </w:r>
    </w:p>
    <w:p w14:paraId="5F092572">
      <w:pPr>
        <w:adjustRightInd w:val="0"/>
        <w:snapToGrid w:val="0"/>
        <w:spacing w:line="400" w:lineRule="exact"/>
        <w:ind w:firstLine="480" w:firstLineChars="200"/>
        <w:rPr>
          <w:rFonts w:ascii="宋体" w:hAnsi="宋体" w:cs="宋体"/>
          <w:bCs/>
          <w:sz w:val="24"/>
        </w:rPr>
      </w:pPr>
      <w:r>
        <w:rPr>
          <w:rFonts w:hint="eastAsia" w:ascii="宋体" w:hAnsi="宋体" w:cs="宋体"/>
          <w:bCs/>
          <w:sz w:val="24"/>
        </w:rPr>
        <w:t xml:space="preserve">（1）合法有效的法人营业执照或者其他组织的法人证明文件复印件并加盖公章； </w:t>
      </w:r>
    </w:p>
    <w:p w14:paraId="3BFC2D83">
      <w:pPr>
        <w:adjustRightInd w:val="0"/>
        <w:snapToGrid w:val="0"/>
        <w:spacing w:line="400" w:lineRule="exact"/>
        <w:ind w:firstLine="480" w:firstLineChars="200"/>
        <w:rPr>
          <w:rFonts w:ascii="宋体" w:hAnsi="宋体" w:cs="宋体"/>
          <w:bCs/>
          <w:sz w:val="24"/>
        </w:rPr>
      </w:pPr>
      <w:r>
        <w:rPr>
          <w:rFonts w:hint="eastAsia" w:ascii="宋体" w:hAnsi="宋体" w:cs="宋体"/>
          <w:bCs/>
          <w:sz w:val="24"/>
        </w:rPr>
        <w:t xml:space="preserve">（2）财务状况报告，至少提供： </w:t>
      </w:r>
    </w:p>
    <w:p w14:paraId="58979569">
      <w:pPr>
        <w:spacing w:line="400" w:lineRule="exact"/>
        <w:ind w:firstLine="480" w:firstLineChars="200"/>
        <w:rPr>
          <w:rFonts w:ascii="宋体" w:hAnsi="宋体" w:cs="宋体"/>
          <w:bCs/>
          <w:sz w:val="24"/>
        </w:rPr>
      </w:pPr>
      <w:r>
        <w:rPr>
          <w:rFonts w:hint="eastAsia" w:ascii="宋体" w:hAnsi="宋体" w:cs="宋体"/>
          <w:bCs/>
          <w:sz w:val="24"/>
        </w:rPr>
        <w:t xml:space="preserve"> ①供应商在“提交首次响应文件截止时间”前6个月内任何月份（不含“提交首次响应文件截止时间”当月）的资产负债表复印件1份并加盖公章； </w:t>
      </w:r>
    </w:p>
    <w:p w14:paraId="312C3872">
      <w:pPr>
        <w:spacing w:line="400" w:lineRule="exact"/>
        <w:ind w:firstLine="480" w:firstLineChars="200"/>
        <w:rPr>
          <w:rFonts w:ascii="宋体" w:hAnsi="宋体" w:cs="宋体"/>
          <w:bCs/>
          <w:sz w:val="24"/>
        </w:rPr>
      </w:pPr>
      <w:r>
        <w:rPr>
          <w:rFonts w:hint="eastAsia" w:ascii="宋体" w:hAnsi="宋体" w:cs="宋体"/>
          <w:bCs/>
          <w:sz w:val="24"/>
        </w:rPr>
        <w:t xml:space="preserve"> ②供应商在“提交首次响应文件截止时间”前6个月内任何月份（不含“提交首次响应文件截止时间”当月）的利润表月报表复印件1份并加盖公章。 </w:t>
      </w:r>
    </w:p>
    <w:p w14:paraId="119C96D5">
      <w:pPr>
        <w:spacing w:line="400" w:lineRule="exact"/>
        <w:rPr>
          <w:rFonts w:ascii="宋体" w:hAnsi="宋体" w:cs="宋体"/>
          <w:bCs/>
          <w:sz w:val="24"/>
        </w:rPr>
      </w:pPr>
      <w:r>
        <w:rPr>
          <w:rFonts w:hint="eastAsia" w:ascii="宋体" w:hAnsi="宋体" w:cs="宋体"/>
          <w:bCs/>
          <w:sz w:val="24"/>
        </w:rPr>
        <w:t xml:space="preserve">    （3）供应商在“提交首次响应文件截止时间”前6个月内任何月份（不含“提交首次响应文件截止时间”当月）依法缴纳税收和社会保障资金的相关材料复印件各1份并加盖公章</w:t>
      </w:r>
      <w:r>
        <w:rPr>
          <w:rFonts w:hint="eastAsia" w:ascii="宋体" w:hAnsi="宋体" w:cs="宋体"/>
          <w:b/>
          <w:color w:val="FF0000"/>
          <w:sz w:val="24"/>
          <w:highlight w:val="yellow"/>
        </w:rPr>
        <w:t>（依法免税或不需要缴纳社会保障资金的供应商,提供相应文件证明其依法免税或不需要缴纳社会保障资金)</w:t>
      </w:r>
      <w:r>
        <w:rPr>
          <w:rFonts w:hint="eastAsia" w:ascii="宋体" w:hAnsi="宋体" w:cs="宋体"/>
          <w:bCs/>
          <w:sz w:val="24"/>
        </w:rPr>
        <w:t>；</w:t>
      </w:r>
    </w:p>
    <w:p w14:paraId="5AB7423C">
      <w:pPr>
        <w:spacing w:line="400" w:lineRule="exact"/>
        <w:ind w:firstLine="480" w:firstLineChars="200"/>
        <w:rPr>
          <w:rFonts w:ascii="宋体" w:hAnsi="宋体" w:cs="宋体"/>
          <w:bCs/>
          <w:sz w:val="24"/>
        </w:rPr>
      </w:pPr>
      <w:r>
        <w:rPr>
          <w:rFonts w:hint="eastAsia" w:ascii="宋体" w:hAnsi="宋体" w:cs="宋体"/>
          <w:bCs/>
          <w:sz w:val="24"/>
        </w:rPr>
        <w:t xml:space="preserve">（4）具备履行合同所必需的设备和专业技术能力的书面声明（加盖公章）； </w:t>
      </w:r>
    </w:p>
    <w:p w14:paraId="74EC5BF1">
      <w:pPr>
        <w:spacing w:line="400" w:lineRule="exact"/>
        <w:ind w:right="-92" w:rightChars="-44" w:firstLine="480" w:firstLineChars="200"/>
        <w:rPr>
          <w:rFonts w:ascii="宋体" w:hAnsi="宋体" w:cs="宋体"/>
          <w:sz w:val="24"/>
        </w:rPr>
      </w:pPr>
      <w:r>
        <w:rPr>
          <w:rFonts w:hint="eastAsia" w:ascii="宋体" w:hAnsi="宋体" w:cs="宋体"/>
          <w:bCs/>
          <w:sz w:val="24"/>
        </w:rPr>
        <w:t>（5）供应商参加采购活动前3年内在经营活动中没有重大违法记录的书面声明</w:t>
      </w:r>
      <w:r>
        <w:rPr>
          <w:rFonts w:hint="eastAsia" w:ascii="宋体" w:hAnsi="宋体" w:cs="宋体"/>
          <w:sz w:val="24"/>
        </w:rPr>
        <w:t>（加盖公章）；</w:t>
      </w:r>
    </w:p>
    <w:p w14:paraId="4C7D4313">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（6）</w:t>
      </w:r>
      <w:r>
        <w:rPr>
          <w:rFonts w:hint="eastAsia" w:asciiTheme="minorEastAsia" w:hAnsiTheme="minorEastAsia" w:eastAsiaTheme="minorEastAsia"/>
          <w:b/>
          <w:sz w:val="24"/>
        </w:rPr>
        <w:t>资格条件部分有其它资格（资质）要求时须提供相关资格（资质）证书复印件</w:t>
      </w:r>
      <w:r>
        <w:rPr>
          <w:rFonts w:hint="eastAsia" w:asciiTheme="minorEastAsia" w:hAnsiTheme="minorEastAsia" w:eastAsiaTheme="minorEastAsia"/>
          <w:sz w:val="24"/>
        </w:rPr>
        <w:t>（加盖公章）。</w:t>
      </w:r>
      <w:r>
        <w:rPr>
          <w:rFonts w:hint="eastAsia" w:asciiTheme="minorEastAsia" w:hAnsiTheme="minorEastAsia" w:eastAsiaTheme="minorEastAsia"/>
          <w:b/>
          <w:sz w:val="24"/>
        </w:rPr>
        <w:t>（此项是指磋商文件中对供应商资格条件有特殊要求时）</w:t>
      </w:r>
    </w:p>
    <w:p w14:paraId="5F2A8A40">
      <w:pPr>
        <w:pStyle w:val="41"/>
        <w:numPr>
          <w:ilvl w:val="0"/>
          <w:numId w:val="0"/>
        </w:numPr>
        <w:spacing w:line="340" w:lineRule="exact"/>
        <w:ind w:left="699" w:leftChars="228" w:hanging="220" w:hangingChars="92"/>
        <w:rPr>
          <w:rFonts w:hint="eastAsia" w:cs="华文楷体" w:asciiTheme="minorEastAsia" w:hAnsiTheme="minorEastAsia" w:eastAsiaTheme="minorEastAsia"/>
          <w:sz w:val="24"/>
          <w:szCs w:val="24"/>
        </w:rPr>
      </w:pPr>
      <w:r>
        <w:rPr>
          <w:rFonts w:hint="eastAsia" w:cs="华文楷体" w:asciiTheme="minorEastAsia" w:hAnsiTheme="minorEastAsia" w:eastAsiaTheme="minorEastAsia"/>
          <w:sz w:val="24"/>
          <w:szCs w:val="24"/>
        </w:rPr>
        <w:t>4.2</w:t>
      </w:r>
      <w:r>
        <w:rPr>
          <w:rFonts w:hint="eastAsia" w:cs="华文楷体" w:asciiTheme="minorEastAsia" w:hAnsiTheme="minorEastAsia" w:eastAsiaTheme="minorEastAsia"/>
          <w:b/>
          <w:bCs/>
          <w:sz w:val="24"/>
          <w:szCs w:val="24"/>
        </w:rPr>
        <w:t>评分索引表</w:t>
      </w:r>
      <w:r>
        <w:rPr>
          <w:rFonts w:hint="eastAsia" w:cs="华文楷体" w:asciiTheme="minorEastAsia" w:hAnsiTheme="minorEastAsia" w:eastAsiaTheme="minorEastAsia"/>
          <w:sz w:val="24"/>
          <w:szCs w:val="24"/>
        </w:rPr>
        <w:t>；</w:t>
      </w:r>
    </w:p>
    <w:p w14:paraId="13B6010B">
      <w:pPr>
        <w:spacing w:line="380" w:lineRule="exact"/>
        <w:ind w:firstLine="470" w:firstLineChars="195"/>
        <w:rPr>
          <w:rFonts w:asciiTheme="minorEastAsia" w:hAnsiTheme="minorEastAsia" w:eastAsiaTheme="minorEastAsia"/>
          <w:sz w:val="24"/>
        </w:rPr>
      </w:pPr>
      <w:r>
        <w:rPr>
          <w:rFonts w:hint="eastAsia" w:asciiTheme="minorEastAsia" w:hAnsiTheme="minorEastAsia" w:eastAsiaTheme="minorEastAsia"/>
          <w:b/>
          <w:bCs/>
          <w:color w:val="FF0000"/>
          <w:sz w:val="24"/>
          <w:highlight w:val="yellow"/>
        </w:rPr>
        <w:t>4</w:t>
      </w:r>
      <w:r>
        <w:rPr>
          <w:rFonts w:asciiTheme="minorEastAsia" w:hAnsiTheme="minorEastAsia" w:eastAsiaTheme="minorEastAsia"/>
          <w:b/>
          <w:bCs/>
          <w:color w:val="FF0000"/>
          <w:sz w:val="24"/>
          <w:highlight w:val="yellow"/>
        </w:rPr>
        <w:t>.</w:t>
      </w:r>
      <w:r>
        <w:rPr>
          <w:rFonts w:hint="eastAsia" w:asciiTheme="minorEastAsia" w:hAnsiTheme="minorEastAsia" w:eastAsiaTheme="minorEastAsia"/>
          <w:b/>
          <w:bCs/>
          <w:color w:val="FF0000"/>
          <w:sz w:val="24"/>
          <w:highlight w:val="yellow"/>
          <w:lang w:val="en-US" w:eastAsia="zh-CN"/>
        </w:rPr>
        <w:t>3</w:t>
      </w:r>
      <w:r>
        <w:rPr>
          <w:rFonts w:hint="eastAsia" w:asciiTheme="minorEastAsia" w:hAnsiTheme="minorEastAsia" w:eastAsiaTheme="minorEastAsia"/>
          <w:b/>
          <w:bCs/>
          <w:color w:val="FF0000"/>
          <w:sz w:val="24"/>
          <w:highlight w:val="yellow"/>
        </w:rPr>
        <w:t>承诺书</w:t>
      </w:r>
      <w:r>
        <w:rPr>
          <w:rFonts w:hint="eastAsia" w:asciiTheme="minorEastAsia" w:hAnsiTheme="minorEastAsia" w:eastAsiaTheme="minorEastAsia" w:cstheme="minorEastAsia"/>
          <w:b/>
          <w:bCs/>
          <w:color w:val="FF0000"/>
          <w:sz w:val="24"/>
          <w:highlight w:val="yellow"/>
        </w:rPr>
        <w:t>（格式后附，原件封于响应文件正本中，此项</w:t>
      </w:r>
      <w:r>
        <w:rPr>
          <w:rFonts w:hint="eastAsia" w:asciiTheme="minorEastAsia" w:hAnsiTheme="minorEastAsia" w:eastAsiaTheme="minorEastAsia" w:cstheme="minorEastAsia"/>
          <w:b/>
          <w:color w:val="FF0000"/>
          <w:sz w:val="24"/>
          <w:highlight w:val="yellow"/>
        </w:rPr>
        <w:t>必须提供，否则按无效响应处理</w:t>
      </w:r>
      <w:r>
        <w:rPr>
          <w:rFonts w:hint="eastAsia" w:asciiTheme="minorEastAsia" w:hAnsiTheme="minorEastAsia" w:eastAsiaTheme="minorEastAsia" w:cstheme="minorEastAsia"/>
          <w:b/>
          <w:bCs/>
          <w:color w:val="FF0000"/>
          <w:sz w:val="24"/>
          <w:highlight w:val="yellow"/>
        </w:rPr>
        <w:t>）</w:t>
      </w:r>
      <w:r>
        <w:rPr>
          <w:rFonts w:hint="eastAsia" w:asciiTheme="minorEastAsia" w:hAnsiTheme="minorEastAsia" w:eastAsiaTheme="minorEastAsia"/>
          <w:sz w:val="24"/>
        </w:rPr>
        <w:t>；</w:t>
      </w:r>
    </w:p>
    <w:p w14:paraId="4E96929D">
      <w:pPr>
        <w:pStyle w:val="41"/>
        <w:numPr>
          <w:ilvl w:val="0"/>
          <w:numId w:val="0"/>
        </w:numPr>
        <w:spacing w:line="340" w:lineRule="exact"/>
        <w:ind w:left="699" w:leftChars="228" w:hanging="220" w:hangingChars="92"/>
        <w:rPr>
          <w:rFonts w:hint="eastAsia" w:cs="华文楷体" w:asciiTheme="minorEastAsia" w:hAnsiTheme="minorEastAsia" w:eastAsiaTheme="minorEastAsia"/>
          <w:sz w:val="24"/>
          <w:szCs w:val="24"/>
        </w:rPr>
      </w:pPr>
    </w:p>
    <w:p w14:paraId="5A6CD829">
      <w:pPr>
        <w:spacing w:line="380" w:lineRule="exact"/>
        <w:ind w:firstLine="470" w:firstLineChars="195"/>
        <w:rPr>
          <w:rFonts w:asciiTheme="minorEastAsia" w:hAnsiTheme="minorEastAsia" w:eastAsiaTheme="minorEastAsia"/>
          <w:b/>
          <w:bCs/>
          <w:color w:val="FF0000"/>
          <w:sz w:val="24"/>
          <w:highlight w:val="yellow"/>
        </w:rPr>
      </w:pPr>
      <w:r>
        <w:rPr>
          <w:rFonts w:hint="eastAsia" w:asciiTheme="minorEastAsia" w:hAnsiTheme="minorEastAsia" w:eastAsiaTheme="minorEastAsia"/>
          <w:b/>
          <w:bCs/>
          <w:color w:val="FF0000"/>
          <w:sz w:val="24"/>
          <w:highlight w:val="yellow"/>
        </w:rPr>
        <w:t>4.</w:t>
      </w:r>
      <w:r>
        <w:rPr>
          <w:rFonts w:hint="eastAsia" w:asciiTheme="minorEastAsia" w:hAnsiTheme="minorEastAsia" w:eastAsiaTheme="minorEastAsia"/>
          <w:b/>
          <w:bCs/>
          <w:color w:val="FF0000"/>
          <w:sz w:val="24"/>
          <w:highlight w:val="yellow"/>
          <w:lang w:val="en-US" w:eastAsia="zh-CN"/>
        </w:rPr>
        <w:t>4</w:t>
      </w:r>
      <w:r>
        <w:rPr>
          <w:rFonts w:hint="eastAsia" w:asciiTheme="minorEastAsia" w:hAnsiTheme="minorEastAsia" w:eastAsiaTheme="minorEastAsia"/>
          <w:b/>
          <w:bCs/>
          <w:color w:val="FF0000"/>
          <w:sz w:val="24"/>
          <w:highlight w:val="yellow"/>
        </w:rPr>
        <w:t>磋商报价表（</w:t>
      </w:r>
      <w:r>
        <w:rPr>
          <w:rFonts w:hint="eastAsia" w:asciiTheme="minorEastAsia" w:hAnsiTheme="minorEastAsia" w:eastAsiaTheme="minorEastAsia" w:cstheme="minorEastAsia"/>
          <w:b/>
          <w:color w:val="FF0000"/>
          <w:sz w:val="24"/>
          <w:highlight w:val="yellow"/>
        </w:rPr>
        <w:t>格式后附，</w:t>
      </w:r>
      <w:r>
        <w:rPr>
          <w:rFonts w:hint="eastAsia" w:asciiTheme="minorEastAsia" w:hAnsiTheme="minorEastAsia" w:eastAsiaTheme="minorEastAsia" w:cstheme="minorEastAsia"/>
          <w:b/>
          <w:bCs/>
          <w:color w:val="FF0000"/>
          <w:sz w:val="24"/>
          <w:highlight w:val="yellow"/>
        </w:rPr>
        <w:t>此项</w:t>
      </w:r>
      <w:r>
        <w:rPr>
          <w:rFonts w:hint="eastAsia" w:asciiTheme="minorEastAsia" w:hAnsiTheme="minorEastAsia" w:eastAsiaTheme="minorEastAsia" w:cstheme="minorEastAsia"/>
          <w:b/>
          <w:color w:val="FF0000"/>
          <w:sz w:val="24"/>
          <w:highlight w:val="yellow"/>
        </w:rPr>
        <w:t>必须提供，否则按无效响应处理</w:t>
      </w:r>
      <w:r>
        <w:rPr>
          <w:rFonts w:hint="eastAsia" w:asciiTheme="minorEastAsia" w:hAnsiTheme="minorEastAsia" w:eastAsiaTheme="minorEastAsia"/>
          <w:b/>
          <w:bCs/>
          <w:color w:val="FF0000"/>
          <w:sz w:val="24"/>
          <w:highlight w:val="yellow"/>
        </w:rPr>
        <w:t>）；</w:t>
      </w:r>
    </w:p>
    <w:p w14:paraId="3BA92FDE">
      <w:pPr>
        <w:spacing w:line="380" w:lineRule="exact"/>
        <w:ind w:firstLine="468" w:firstLineChars="195"/>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磋商报价明细</w:t>
      </w:r>
      <w:r>
        <w:rPr>
          <w:rFonts w:asciiTheme="minorEastAsia" w:hAnsiTheme="minorEastAsia" w:eastAsiaTheme="minorEastAsia"/>
          <w:sz w:val="24"/>
        </w:rPr>
        <w:t>表；</w:t>
      </w:r>
    </w:p>
    <w:p w14:paraId="0AF4C3B1">
      <w:pPr>
        <w:spacing w:line="380" w:lineRule="exact"/>
        <w:ind w:firstLine="470" w:firstLineChars="195"/>
        <w:rPr>
          <w:rFonts w:asciiTheme="minorEastAsia" w:hAnsiTheme="minorEastAsia" w:eastAsiaTheme="minorEastAsia"/>
          <w:b/>
          <w:bCs/>
          <w:color w:val="FF0000"/>
          <w:sz w:val="24"/>
          <w:highlight w:val="yellow"/>
        </w:rPr>
      </w:pPr>
      <w:r>
        <w:rPr>
          <w:rFonts w:hint="eastAsia" w:asciiTheme="minorEastAsia" w:hAnsiTheme="minorEastAsia" w:eastAsiaTheme="minorEastAsia"/>
          <w:b/>
          <w:bCs/>
          <w:color w:val="FF0000"/>
          <w:sz w:val="24"/>
          <w:highlight w:val="yellow"/>
        </w:rPr>
        <w:t>4.</w:t>
      </w:r>
      <w:r>
        <w:rPr>
          <w:rFonts w:hint="eastAsia" w:asciiTheme="minorEastAsia" w:hAnsiTheme="minorEastAsia" w:eastAsiaTheme="minorEastAsia"/>
          <w:b/>
          <w:bCs/>
          <w:color w:val="FF0000"/>
          <w:sz w:val="24"/>
          <w:highlight w:val="yellow"/>
          <w:lang w:val="en-US" w:eastAsia="zh-CN"/>
        </w:rPr>
        <w:t>6</w:t>
      </w:r>
      <w:r>
        <w:rPr>
          <w:rFonts w:hint="eastAsia" w:asciiTheme="minorEastAsia" w:hAnsiTheme="minorEastAsia" w:eastAsiaTheme="minorEastAsia" w:cstheme="minorEastAsia"/>
          <w:b/>
          <w:bCs/>
          <w:color w:val="FF0000"/>
          <w:sz w:val="24"/>
          <w:highlight w:val="yellow"/>
        </w:rPr>
        <w:t>法定代表人的授权委托书（格式后附，原件封于响应文件正本中，此项</w:t>
      </w:r>
      <w:r>
        <w:rPr>
          <w:rFonts w:hint="eastAsia" w:asciiTheme="minorEastAsia" w:hAnsiTheme="minorEastAsia" w:eastAsiaTheme="minorEastAsia" w:cstheme="minorEastAsia"/>
          <w:b/>
          <w:color w:val="FF0000"/>
          <w:sz w:val="24"/>
          <w:highlight w:val="yellow"/>
        </w:rPr>
        <w:t>必须提供，否则按无效响应处理</w:t>
      </w:r>
      <w:r>
        <w:rPr>
          <w:rFonts w:hint="eastAsia" w:asciiTheme="minorEastAsia" w:hAnsiTheme="minorEastAsia" w:eastAsiaTheme="minorEastAsia" w:cstheme="minorEastAsia"/>
          <w:b/>
          <w:bCs/>
          <w:color w:val="FF0000"/>
          <w:sz w:val="24"/>
          <w:highlight w:val="yellow"/>
        </w:rPr>
        <w:t>）；</w:t>
      </w:r>
      <w:bookmarkStart w:id="12" w:name="_GoBack"/>
      <w:bookmarkEnd w:id="12"/>
    </w:p>
    <w:p w14:paraId="5053E94D">
      <w:pPr>
        <w:spacing w:line="380" w:lineRule="exact"/>
        <w:ind w:firstLine="468" w:firstLineChars="195"/>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w:t>
      </w:r>
      <w:r>
        <w:rPr>
          <w:rFonts w:hint="eastAsia" w:asciiTheme="minorEastAsia" w:hAnsiTheme="minorEastAsia" w:eastAsiaTheme="minorEastAsia"/>
          <w:sz w:val="24"/>
        </w:rPr>
        <w:t>7供应商情况介绍（简要说明）；</w:t>
      </w:r>
    </w:p>
    <w:p w14:paraId="34916A50">
      <w:pPr>
        <w:ind w:firstLine="482" w:firstLineChars="200"/>
        <w:rPr>
          <w:rFonts w:asciiTheme="minorEastAsia" w:hAnsiTheme="minorEastAsia" w:eastAsiaTheme="minorEastAsia"/>
          <w:sz w:val="24"/>
        </w:rPr>
      </w:pPr>
      <w:r>
        <w:rPr>
          <w:rFonts w:hint="eastAsia" w:asciiTheme="minorEastAsia" w:hAnsiTheme="minorEastAsia" w:eastAsiaTheme="minorEastAsia"/>
          <w:b/>
          <w:bCs/>
          <w:color w:val="FF0000"/>
          <w:sz w:val="24"/>
          <w:highlight w:val="yellow"/>
        </w:rPr>
        <w:t>4</w:t>
      </w:r>
      <w:r>
        <w:rPr>
          <w:rFonts w:asciiTheme="minorEastAsia" w:hAnsiTheme="minorEastAsia" w:eastAsiaTheme="minorEastAsia"/>
          <w:b/>
          <w:bCs/>
          <w:color w:val="FF0000"/>
          <w:sz w:val="24"/>
          <w:highlight w:val="yellow"/>
        </w:rPr>
        <w:t>.</w:t>
      </w:r>
      <w:r>
        <w:rPr>
          <w:rFonts w:hint="eastAsia" w:asciiTheme="minorEastAsia" w:hAnsiTheme="minorEastAsia" w:eastAsiaTheme="minorEastAsia"/>
          <w:b/>
          <w:bCs/>
          <w:color w:val="FF0000"/>
          <w:sz w:val="24"/>
          <w:highlight w:val="yellow"/>
        </w:rPr>
        <w:t>8偏离表（格式后</w:t>
      </w:r>
      <w:r>
        <w:rPr>
          <w:rFonts w:hint="eastAsia" w:asciiTheme="minorEastAsia" w:hAnsiTheme="minorEastAsia" w:eastAsiaTheme="minorEastAsia"/>
          <w:b/>
          <w:bCs/>
          <w:color w:val="FF0000"/>
          <w:sz w:val="24"/>
          <w:highlight w:val="yellow"/>
        </w:rPr>
        <w:t>附，</w:t>
      </w:r>
      <w:r>
        <w:rPr>
          <w:rFonts w:hint="eastAsia" w:asciiTheme="minorEastAsia" w:hAnsiTheme="minorEastAsia" w:eastAsiaTheme="minorEastAsia" w:cstheme="minorEastAsia"/>
          <w:b/>
          <w:bCs/>
          <w:color w:val="FF0000"/>
          <w:sz w:val="24"/>
          <w:highlight w:val="yellow"/>
        </w:rPr>
        <w:t>此项</w:t>
      </w:r>
      <w:r>
        <w:rPr>
          <w:rFonts w:hint="eastAsia" w:asciiTheme="minorEastAsia" w:hAnsiTheme="minorEastAsia" w:eastAsiaTheme="minorEastAsia" w:cstheme="minorEastAsia"/>
          <w:b/>
          <w:color w:val="FF0000"/>
          <w:sz w:val="24"/>
          <w:highlight w:val="yellow"/>
        </w:rPr>
        <w:t>必须提供，否则按无效响应处理</w:t>
      </w:r>
      <w:r>
        <w:rPr>
          <w:rFonts w:hint="eastAsia" w:asciiTheme="minorEastAsia" w:hAnsiTheme="minorEastAsia" w:eastAsiaTheme="minorEastAsia"/>
          <w:b/>
          <w:bCs/>
          <w:color w:val="FF0000"/>
          <w:sz w:val="24"/>
          <w:highlight w:val="yellow"/>
        </w:rPr>
        <w:t>）</w:t>
      </w:r>
      <w:r>
        <w:rPr>
          <w:rFonts w:hint="eastAsia" w:asciiTheme="minorEastAsia" w:hAnsiTheme="minorEastAsia" w:eastAsiaTheme="minorEastAsia"/>
          <w:sz w:val="24"/>
        </w:rPr>
        <w:t>；</w:t>
      </w:r>
    </w:p>
    <w:p w14:paraId="7C94EF15">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w:t>
      </w:r>
      <w:r>
        <w:rPr>
          <w:rFonts w:hint="eastAsia" w:asciiTheme="minorEastAsia" w:hAnsiTheme="minorEastAsia" w:eastAsiaTheme="minorEastAsia"/>
          <w:sz w:val="24"/>
        </w:rPr>
        <w:t>9服务方案；</w:t>
      </w:r>
    </w:p>
    <w:p w14:paraId="270252FD">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w:t>
      </w:r>
      <w:r>
        <w:rPr>
          <w:rFonts w:hint="eastAsia" w:asciiTheme="minorEastAsia" w:hAnsiTheme="minorEastAsia" w:eastAsiaTheme="minorEastAsia"/>
          <w:sz w:val="24"/>
        </w:rPr>
        <w:t>10企业类似业绩</w:t>
      </w:r>
      <w:r>
        <w:rPr>
          <w:rFonts w:hint="eastAsia" w:asciiTheme="minorEastAsia" w:hAnsiTheme="minorEastAsia" w:eastAsiaTheme="minorEastAsia"/>
          <w:b/>
          <w:sz w:val="24"/>
        </w:rPr>
        <w:t>（20</w:t>
      </w:r>
      <w:r>
        <w:rPr>
          <w:rFonts w:asciiTheme="minorEastAsia" w:hAnsiTheme="minorEastAsia" w:eastAsiaTheme="minorEastAsia"/>
          <w:b/>
          <w:sz w:val="24"/>
        </w:rPr>
        <w:t>2</w:t>
      </w:r>
      <w:r>
        <w:rPr>
          <w:rFonts w:hint="eastAsia" w:asciiTheme="minorEastAsia" w:hAnsiTheme="minorEastAsia" w:eastAsiaTheme="minorEastAsia"/>
          <w:b/>
          <w:sz w:val="24"/>
        </w:rPr>
        <w:t>1年10月1日以来类似业绩，合同复印件加盖公章备查</w:t>
      </w:r>
      <w:r>
        <w:rPr>
          <w:rFonts w:hint="eastAsia" w:asciiTheme="minorEastAsia" w:hAnsiTheme="minorEastAsia" w:eastAsiaTheme="minorEastAsia"/>
          <w:b/>
          <w:sz w:val="24"/>
          <w:lang w:eastAsia="zh-CN"/>
        </w:rPr>
        <w:t>，</w:t>
      </w:r>
      <w:r>
        <w:rPr>
          <w:rFonts w:hint="eastAsia" w:asciiTheme="minorEastAsia" w:hAnsiTheme="minorEastAsia" w:eastAsiaTheme="minorEastAsia"/>
          <w:b/>
          <w:sz w:val="24"/>
          <w:lang w:val="en-US" w:eastAsia="zh-CN"/>
        </w:rPr>
        <w:t>否则视为未提供</w:t>
      </w:r>
      <w:r>
        <w:rPr>
          <w:rFonts w:hint="eastAsia" w:asciiTheme="minorEastAsia" w:hAnsiTheme="minorEastAsia" w:eastAsiaTheme="minorEastAsia"/>
          <w:b/>
          <w:sz w:val="24"/>
        </w:rPr>
        <w:t>）</w:t>
      </w:r>
      <w:r>
        <w:rPr>
          <w:rFonts w:hint="eastAsia" w:asciiTheme="minorEastAsia" w:hAnsiTheme="minorEastAsia" w:eastAsiaTheme="minorEastAsia"/>
          <w:sz w:val="24"/>
        </w:rPr>
        <w:t>；</w:t>
      </w:r>
    </w:p>
    <w:p w14:paraId="00AF0634">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w:t>
      </w:r>
      <w:r>
        <w:rPr>
          <w:rFonts w:hint="eastAsia" w:asciiTheme="minorEastAsia" w:hAnsiTheme="minorEastAsia" w:eastAsiaTheme="minorEastAsia"/>
          <w:sz w:val="24"/>
        </w:rPr>
        <w:t>11未被“信用中国”网站（www.creditchina.gov.cn）列入失信执行人、重大税收违法案件当事人名单、政府采购严重违法失信行为记录名单，否则投标无效，</w:t>
      </w:r>
      <w:r>
        <w:rPr>
          <w:rFonts w:hint="eastAsia" w:asciiTheme="minorEastAsia" w:hAnsiTheme="minorEastAsia" w:eastAsiaTheme="minorEastAsia"/>
          <w:b/>
          <w:sz w:val="24"/>
        </w:rPr>
        <w:t>须提供信用查询截图；</w:t>
      </w:r>
    </w:p>
    <w:p w14:paraId="24284064">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4.12评分细则中</w:t>
      </w:r>
      <w:r>
        <w:rPr>
          <w:rFonts w:hint="eastAsia" w:asciiTheme="minorEastAsia" w:hAnsiTheme="minorEastAsia" w:eastAsiaTheme="minorEastAsia"/>
          <w:sz w:val="24"/>
          <w:lang w:val="en-US" w:eastAsia="zh-CN"/>
        </w:rPr>
        <w:t>提及的影响评审结果的相关材料</w:t>
      </w:r>
      <w:r>
        <w:rPr>
          <w:rFonts w:hint="eastAsia" w:asciiTheme="minorEastAsia" w:hAnsiTheme="minorEastAsia" w:eastAsiaTheme="minorEastAsia"/>
          <w:sz w:val="24"/>
        </w:rPr>
        <w:t>（</w:t>
      </w:r>
      <w:r>
        <w:rPr>
          <w:rFonts w:hint="eastAsia" w:asciiTheme="minorEastAsia" w:hAnsiTheme="minorEastAsia" w:eastAsiaTheme="minorEastAsia"/>
          <w:b/>
          <w:sz w:val="24"/>
        </w:rPr>
        <w:t>如有）</w:t>
      </w:r>
      <w:r>
        <w:rPr>
          <w:rFonts w:hint="eastAsia" w:asciiTheme="minorEastAsia" w:hAnsiTheme="minorEastAsia" w:eastAsiaTheme="minorEastAsia"/>
          <w:sz w:val="24"/>
        </w:rPr>
        <w:t>；</w:t>
      </w:r>
    </w:p>
    <w:p w14:paraId="6DF3C5D6">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w:t>
      </w:r>
      <w:r>
        <w:rPr>
          <w:rFonts w:hint="eastAsia" w:asciiTheme="minorEastAsia" w:hAnsiTheme="minorEastAsia" w:eastAsiaTheme="minorEastAsia"/>
          <w:sz w:val="24"/>
        </w:rPr>
        <w:t>13</w:t>
      </w:r>
      <w:r>
        <w:rPr>
          <w:rFonts w:hint="eastAsia" w:asciiTheme="minorEastAsia" w:hAnsiTheme="minorEastAsia" w:eastAsiaTheme="minorEastAsia"/>
          <w:sz w:val="24"/>
          <w:lang w:val="en-US" w:eastAsia="zh-CN"/>
        </w:rPr>
        <w:t>磋商文件</w:t>
      </w:r>
      <w:r>
        <w:rPr>
          <w:rFonts w:hint="eastAsia" w:asciiTheme="minorEastAsia" w:hAnsiTheme="minorEastAsia" w:eastAsiaTheme="minorEastAsia"/>
          <w:sz w:val="24"/>
        </w:rPr>
        <w:t>中要求提交的和供应商认为需要提供的其它材料。</w:t>
      </w:r>
    </w:p>
    <w:p w14:paraId="5FF87BF2">
      <w:pPr>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注：</w:t>
      </w:r>
    </w:p>
    <w:p w14:paraId="19855DB6">
      <w:pPr>
        <w:numPr>
          <w:ilvl w:val="0"/>
          <w:numId w:val="3"/>
        </w:numPr>
        <w:ind w:firstLine="723" w:firstLineChars="300"/>
        <w:rPr>
          <w:rFonts w:asciiTheme="minorEastAsia" w:hAnsiTheme="minorEastAsia" w:eastAsiaTheme="minorEastAsia"/>
          <w:b/>
          <w:sz w:val="24"/>
        </w:rPr>
      </w:pPr>
      <w:r>
        <w:rPr>
          <w:rFonts w:hint="eastAsia" w:asciiTheme="minorEastAsia" w:hAnsiTheme="minorEastAsia" w:eastAsiaTheme="minorEastAsia"/>
          <w:b/>
          <w:sz w:val="24"/>
        </w:rPr>
        <w:t>响应文件封面应注明项目编号、项目名称、供应商全称及“正本”或“副本”字样。</w:t>
      </w:r>
    </w:p>
    <w:p w14:paraId="17D78AA0">
      <w:pPr>
        <w:ind w:firstLine="723" w:firstLineChars="300"/>
        <w:rPr>
          <w:rFonts w:asciiTheme="minorEastAsia" w:hAnsiTheme="minorEastAsia" w:eastAsiaTheme="minorEastAsia"/>
          <w:b/>
          <w:sz w:val="24"/>
        </w:rPr>
      </w:pPr>
      <w:r>
        <w:rPr>
          <w:rFonts w:asciiTheme="minorEastAsia" w:hAnsiTheme="minorEastAsia" w:eastAsiaTheme="minorEastAsia"/>
          <w:b/>
          <w:sz w:val="24"/>
        </w:rPr>
        <w:t>2</w:t>
      </w:r>
      <w:r>
        <w:rPr>
          <w:rFonts w:hint="eastAsia" w:asciiTheme="minorEastAsia" w:hAnsiTheme="minorEastAsia" w:eastAsiaTheme="minorEastAsia"/>
          <w:b/>
          <w:sz w:val="24"/>
        </w:rPr>
        <w:t>）响应文件须编制目录及页码。</w:t>
      </w:r>
    </w:p>
    <w:p w14:paraId="3C827CE0">
      <w:pPr>
        <w:pStyle w:val="41"/>
        <w:numPr>
          <w:ilvl w:val="0"/>
          <w:numId w:val="0"/>
        </w:numPr>
        <w:spacing w:line="340" w:lineRule="exact"/>
        <w:ind w:firstLine="472" w:firstLineChars="196"/>
        <w:rPr>
          <w:rFonts w:cs="华文楷体" w:asciiTheme="minorEastAsia" w:hAnsiTheme="minorEastAsia" w:eastAsiaTheme="minorEastAsia"/>
          <w:b/>
          <w:sz w:val="24"/>
          <w:szCs w:val="24"/>
        </w:rPr>
      </w:pPr>
      <w:r>
        <w:rPr>
          <w:rFonts w:hint="eastAsia" w:cs="华文楷体" w:asciiTheme="minorEastAsia" w:hAnsiTheme="minorEastAsia" w:eastAsiaTheme="minorEastAsia"/>
          <w:b/>
          <w:sz w:val="24"/>
          <w:szCs w:val="24"/>
        </w:rPr>
        <w:t>5.响应要求</w:t>
      </w:r>
    </w:p>
    <w:p w14:paraId="2320A3F3">
      <w:pPr>
        <w:pStyle w:val="41"/>
        <w:numPr>
          <w:ilvl w:val="0"/>
          <w:numId w:val="0"/>
        </w:numPr>
        <w:spacing w:line="340" w:lineRule="exact"/>
        <w:ind w:firstLine="480" w:firstLineChars="200"/>
        <w:rPr>
          <w:rFonts w:hint="eastAsia" w:cs="华文楷体" w:asciiTheme="minorEastAsia" w:hAnsiTheme="minorEastAsia" w:eastAsiaTheme="minorEastAsia"/>
          <w:color w:val="000000" w:themeColor="text1"/>
          <w:kern w:val="2"/>
          <w:sz w:val="24"/>
          <w:szCs w:val="24"/>
          <w:lang w:eastAsia="zh-CN"/>
        </w:rPr>
      </w:pPr>
      <w:r>
        <w:rPr>
          <w:rFonts w:hint="eastAsia" w:cs="华文楷体" w:asciiTheme="minorEastAsia" w:hAnsiTheme="minorEastAsia" w:eastAsiaTheme="minorEastAsia"/>
          <w:color w:val="000000" w:themeColor="text1"/>
          <w:kern w:val="2"/>
          <w:sz w:val="24"/>
          <w:szCs w:val="24"/>
        </w:rPr>
        <w:t>5.</w:t>
      </w:r>
      <w:r>
        <w:rPr>
          <w:rFonts w:hint="eastAsia" w:cs="华文楷体" w:asciiTheme="minorEastAsia" w:hAnsiTheme="minorEastAsia" w:eastAsiaTheme="minorEastAsia"/>
          <w:color w:val="000000" w:themeColor="text1"/>
          <w:kern w:val="2"/>
          <w:sz w:val="24"/>
          <w:szCs w:val="24"/>
          <w:lang w:val="en-US" w:eastAsia="zh-CN"/>
        </w:rPr>
        <w:t>1</w:t>
      </w:r>
      <w:r>
        <w:rPr>
          <w:rFonts w:hint="eastAsia" w:cs="华文楷体" w:asciiTheme="minorEastAsia" w:hAnsiTheme="minorEastAsia" w:eastAsiaTheme="minorEastAsia"/>
          <w:color w:val="000000" w:themeColor="text1"/>
          <w:kern w:val="2"/>
          <w:sz w:val="24"/>
          <w:szCs w:val="24"/>
        </w:rPr>
        <w:t>供应商须按照磋商报价表的</w:t>
      </w:r>
      <w:r>
        <w:rPr>
          <w:rFonts w:hint="eastAsia" w:cs="华文楷体" w:asciiTheme="minorEastAsia" w:hAnsiTheme="minorEastAsia" w:eastAsiaTheme="minorEastAsia"/>
          <w:color w:val="000000" w:themeColor="text1"/>
          <w:kern w:val="2"/>
          <w:sz w:val="24"/>
          <w:szCs w:val="24"/>
          <w:lang w:val="en-US" w:eastAsia="zh-CN"/>
        </w:rPr>
        <w:t>规定格式</w:t>
      </w:r>
      <w:r>
        <w:rPr>
          <w:rFonts w:hint="eastAsia" w:cs="华文楷体" w:asciiTheme="minorEastAsia" w:hAnsiTheme="minorEastAsia" w:eastAsiaTheme="minorEastAsia"/>
          <w:color w:val="000000" w:themeColor="text1"/>
          <w:kern w:val="2"/>
          <w:sz w:val="24"/>
          <w:szCs w:val="24"/>
        </w:rPr>
        <w:t>填写</w:t>
      </w:r>
      <w:r>
        <w:rPr>
          <w:rFonts w:hint="eastAsia" w:cs="华文楷体" w:asciiTheme="minorEastAsia" w:hAnsiTheme="minorEastAsia" w:eastAsiaTheme="minorEastAsia"/>
          <w:color w:val="000000" w:themeColor="text1"/>
          <w:kern w:val="2"/>
          <w:sz w:val="24"/>
          <w:szCs w:val="24"/>
          <w:lang w:eastAsia="zh-CN"/>
        </w:rPr>
        <w:t>。</w:t>
      </w:r>
    </w:p>
    <w:p w14:paraId="301F6D12">
      <w:pPr>
        <w:pStyle w:val="41"/>
        <w:numPr>
          <w:ilvl w:val="0"/>
          <w:numId w:val="0"/>
        </w:numPr>
        <w:spacing w:line="340" w:lineRule="exact"/>
        <w:ind w:firstLine="482" w:firstLineChars="200"/>
        <w:rPr>
          <w:rFonts w:cs="华文楷体" w:asciiTheme="minorEastAsia" w:hAnsiTheme="minorEastAsia" w:eastAsiaTheme="minorEastAsia"/>
          <w:b/>
          <w:color w:val="FF0000"/>
          <w:kern w:val="2"/>
          <w:sz w:val="24"/>
          <w:szCs w:val="24"/>
        </w:rPr>
      </w:pPr>
      <w:r>
        <w:rPr>
          <w:rFonts w:hint="eastAsia" w:cs="华文楷体" w:asciiTheme="minorEastAsia" w:hAnsiTheme="minorEastAsia" w:eastAsiaTheme="minorEastAsia"/>
          <w:b/>
          <w:color w:val="FF0000"/>
          <w:kern w:val="2"/>
          <w:sz w:val="24"/>
          <w:szCs w:val="24"/>
          <w:highlight w:val="yellow"/>
        </w:rPr>
        <w:t>5.</w:t>
      </w:r>
      <w:r>
        <w:rPr>
          <w:rFonts w:hint="eastAsia" w:cs="华文楷体" w:asciiTheme="minorEastAsia" w:hAnsiTheme="minorEastAsia" w:eastAsiaTheme="minorEastAsia"/>
          <w:b/>
          <w:color w:val="FF0000"/>
          <w:kern w:val="2"/>
          <w:sz w:val="24"/>
          <w:szCs w:val="24"/>
          <w:highlight w:val="yellow"/>
          <w:lang w:val="en-US" w:eastAsia="zh-CN"/>
        </w:rPr>
        <w:t>2</w:t>
      </w:r>
      <w:r>
        <w:rPr>
          <w:rFonts w:hint="eastAsia" w:cs="华文楷体" w:asciiTheme="minorEastAsia" w:hAnsiTheme="minorEastAsia" w:eastAsiaTheme="minorEastAsia"/>
          <w:b/>
          <w:color w:val="FF0000"/>
          <w:kern w:val="2"/>
          <w:sz w:val="24"/>
          <w:szCs w:val="24"/>
          <w:highlight w:val="yellow"/>
        </w:rPr>
        <w:t>采购人不接受不明确的响应方案，且供应商只能投报一种</w:t>
      </w:r>
      <w:r>
        <w:rPr>
          <w:rFonts w:hint="eastAsia" w:cs="华文楷体" w:asciiTheme="minorEastAsia" w:hAnsiTheme="minorEastAsia" w:eastAsiaTheme="minorEastAsia"/>
          <w:b/>
          <w:color w:val="FF0000"/>
          <w:kern w:val="2"/>
          <w:sz w:val="24"/>
          <w:szCs w:val="24"/>
          <w:highlight w:val="yellow"/>
          <w:lang w:val="en-US" w:eastAsia="zh-CN"/>
        </w:rPr>
        <w:t>响应</w:t>
      </w:r>
      <w:r>
        <w:rPr>
          <w:rFonts w:hint="eastAsia" w:cs="华文楷体" w:asciiTheme="minorEastAsia" w:hAnsiTheme="minorEastAsia" w:eastAsiaTheme="minorEastAsia"/>
          <w:b/>
          <w:color w:val="FF0000"/>
          <w:kern w:val="2"/>
          <w:sz w:val="24"/>
          <w:szCs w:val="24"/>
          <w:highlight w:val="yellow"/>
        </w:rPr>
        <w:t>方案。投报多种，且未注明哪一种方案</w:t>
      </w:r>
      <w:r>
        <w:rPr>
          <w:rFonts w:hint="eastAsia" w:cs="华文楷体" w:asciiTheme="minorEastAsia" w:hAnsiTheme="minorEastAsia" w:eastAsiaTheme="minorEastAsia"/>
          <w:b/>
          <w:color w:val="FF0000"/>
          <w:kern w:val="2"/>
          <w:sz w:val="24"/>
          <w:szCs w:val="24"/>
          <w:highlight w:val="yellow"/>
          <w:lang w:val="en-US" w:eastAsia="zh-CN"/>
        </w:rPr>
        <w:t>有效的</w:t>
      </w:r>
      <w:r>
        <w:rPr>
          <w:rFonts w:hint="eastAsia" w:cs="华文楷体" w:asciiTheme="minorEastAsia" w:hAnsiTheme="minorEastAsia" w:eastAsiaTheme="minorEastAsia"/>
          <w:b/>
          <w:color w:val="FF0000"/>
          <w:kern w:val="2"/>
          <w:sz w:val="24"/>
          <w:szCs w:val="24"/>
          <w:highlight w:val="yellow"/>
        </w:rPr>
        <w:t>，按无效响应处理。</w:t>
      </w:r>
    </w:p>
    <w:p w14:paraId="7EA559F4">
      <w:pPr>
        <w:pStyle w:val="41"/>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5.</w:t>
      </w:r>
      <w:r>
        <w:rPr>
          <w:rFonts w:hint="eastAsia" w:cs="华文楷体" w:asciiTheme="minorEastAsia" w:hAnsiTheme="minorEastAsia" w:eastAsiaTheme="minorEastAsia"/>
          <w:color w:val="000000" w:themeColor="text1"/>
          <w:kern w:val="2"/>
          <w:sz w:val="24"/>
          <w:szCs w:val="24"/>
          <w:lang w:val="en-US" w:eastAsia="zh-CN"/>
        </w:rPr>
        <w:t>3</w:t>
      </w:r>
      <w:r>
        <w:rPr>
          <w:rFonts w:hint="eastAsia" w:cs="华文楷体" w:asciiTheme="minorEastAsia" w:hAnsiTheme="minorEastAsia" w:eastAsiaTheme="minorEastAsia"/>
          <w:color w:val="000000" w:themeColor="text1"/>
          <w:kern w:val="2"/>
          <w:sz w:val="24"/>
          <w:szCs w:val="24"/>
        </w:rPr>
        <w:t>供应商如成交，其成交单价在合同执行过程中是固定不变的，供应商不得以任何理由予以变更。</w:t>
      </w:r>
      <w:r>
        <w:rPr>
          <w:rFonts w:hint="eastAsia" w:cs="华文楷体" w:asciiTheme="minorEastAsia" w:hAnsiTheme="minorEastAsia" w:eastAsiaTheme="minorEastAsia"/>
          <w:color w:val="000000" w:themeColor="text1"/>
          <w:kern w:val="2"/>
          <w:sz w:val="24"/>
          <w:szCs w:val="24"/>
          <w:lang w:val="en-US" w:eastAsia="zh-CN"/>
        </w:rPr>
        <w:t>采购文件另有约定的除外</w:t>
      </w:r>
      <w:r>
        <w:rPr>
          <w:rFonts w:hint="eastAsia" w:cs="华文楷体" w:asciiTheme="minorEastAsia" w:hAnsiTheme="minorEastAsia" w:eastAsiaTheme="minorEastAsia"/>
          <w:color w:val="000000" w:themeColor="text1"/>
          <w:kern w:val="2"/>
          <w:sz w:val="24"/>
          <w:szCs w:val="24"/>
        </w:rPr>
        <w:t>。</w:t>
      </w:r>
    </w:p>
    <w:p w14:paraId="57FA5F78">
      <w:pPr>
        <w:pStyle w:val="41"/>
        <w:numPr>
          <w:ilvl w:val="0"/>
          <w:numId w:val="0"/>
        </w:numPr>
        <w:spacing w:line="340" w:lineRule="exact"/>
        <w:ind w:firstLine="480" w:firstLineChars="2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5.</w:t>
      </w:r>
      <w:r>
        <w:rPr>
          <w:rFonts w:hint="eastAsia" w:cs="华文楷体" w:asciiTheme="minorEastAsia" w:hAnsiTheme="minorEastAsia" w:eastAsiaTheme="minorEastAsia"/>
          <w:color w:val="000000" w:themeColor="text1"/>
          <w:kern w:val="2"/>
          <w:sz w:val="24"/>
          <w:szCs w:val="24"/>
          <w:lang w:val="en-US" w:eastAsia="zh-CN"/>
        </w:rPr>
        <w:t>4</w:t>
      </w:r>
      <w:r>
        <w:rPr>
          <w:rFonts w:hint="eastAsia" w:cs="华文楷体" w:asciiTheme="minorEastAsia" w:hAnsiTheme="minorEastAsia" w:eastAsiaTheme="minorEastAsia"/>
          <w:color w:val="000000" w:themeColor="text1"/>
          <w:kern w:val="2"/>
          <w:sz w:val="24"/>
          <w:szCs w:val="24"/>
        </w:rPr>
        <w:t>最低报价不能作为成交的保证。</w:t>
      </w:r>
    </w:p>
    <w:p w14:paraId="1E0A71CE">
      <w:pPr>
        <w:pStyle w:val="41"/>
        <w:numPr>
          <w:ilvl w:val="0"/>
          <w:numId w:val="0"/>
        </w:numPr>
        <w:spacing w:line="340" w:lineRule="exact"/>
        <w:ind w:firstLine="236" w:firstLineChars="98"/>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 xml:space="preserve">  </w:t>
      </w:r>
      <w:r>
        <w:rPr>
          <w:rFonts w:hint="eastAsia" w:cs="华文楷体" w:asciiTheme="minorEastAsia" w:hAnsiTheme="minorEastAsia" w:eastAsiaTheme="minorEastAsia"/>
          <w:b/>
          <w:color w:val="000000" w:themeColor="text1"/>
          <w:sz w:val="24"/>
          <w:szCs w:val="24"/>
          <w:lang w:val="en-US" w:eastAsia="zh-CN"/>
        </w:rPr>
        <w:t>6</w:t>
      </w:r>
      <w:r>
        <w:rPr>
          <w:rFonts w:hint="eastAsia" w:cs="华文楷体" w:asciiTheme="minorEastAsia" w:hAnsiTheme="minorEastAsia" w:eastAsiaTheme="minorEastAsia"/>
          <w:b/>
          <w:color w:val="000000" w:themeColor="text1"/>
          <w:sz w:val="24"/>
          <w:szCs w:val="24"/>
        </w:rPr>
        <w:t>.响应文件的有效期</w:t>
      </w:r>
    </w:p>
    <w:p w14:paraId="79D7587A">
      <w:pPr>
        <w:pStyle w:val="41"/>
        <w:numPr>
          <w:ilvl w:val="0"/>
          <w:numId w:val="0"/>
        </w:numPr>
        <w:spacing w:line="340" w:lineRule="exact"/>
        <w:ind w:firstLine="240" w:firstLineChars="100"/>
        <w:rPr>
          <w:rFonts w:cs="华文楷体" w:asciiTheme="minorEastAsia" w:hAnsiTheme="minorEastAsia" w:eastAsiaTheme="minorEastAsia"/>
          <w:color w:val="000000" w:themeColor="text1"/>
          <w:kern w:val="2"/>
          <w:sz w:val="24"/>
          <w:szCs w:val="24"/>
        </w:rPr>
      </w:pPr>
      <w:r>
        <w:rPr>
          <w:rFonts w:hint="eastAsia" w:cs="华文楷体" w:asciiTheme="minorEastAsia" w:hAnsiTheme="minorEastAsia" w:eastAsiaTheme="minorEastAsia"/>
          <w:color w:val="000000" w:themeColor="text1"/>
          <w:kern w:val="2"/>
          <w:sz w:val="24"/>
          <w:szCs w:val="24"/>
        </w:rPr>
        <w:t xml:space="preserve">  </w:t>
      </w:r>
      <w:r>
        <w:rPr>
          <w:rFonts w:hint="eastAsia" w:cs="华文楷体" w:asciiTheme="minorEastAsia" w:hAnsiTheme="minorEastAsia" w:eastAsiaTheme="minorEastAsia"/>
          <w:color w:val="000000" w:themeColor="text1"/>
          <w:kern w:val="2"/>
          <w:sz w:val="24"/>
          <w:szCs w:val="24"/>
          <w:lang w:val="en-US" w:eastAsia="zh-CN"/>
        </w:rPr>
        <w:t>6</w:t>
      </w:r>
      <w:r>
        <w:rPr>
          <w:rFonts w:hint="eastAsia" w:cs="华文楷体" w:asciiTheme="minorEastAsia" w:hAnsiTheme="minorEastAsia" w:eastAsiaTheme="minorEastAsia"/>
          <w:color w:val="000000" w:themeColor="text1"/>
          <w:kern w:val="2"/>
          <w:sz w:val="24"/>
          <w:szCs w:val="24"/>
        </w:rPr>
        <w:t>.1 自首次递交</w:t>
      </w:r>
      <w:r>
        <w:rPr>
          <w:rFonts w:hint="eastAsia" w:cs="华文楷体" w:asciiTheme="minorEastAsia" w:hAnsiTheme="minorEastAsia" w:eastAsiaTheme="minorEastAsia"/>
          <w:color w:val="000000" w:themeColor="text1"/>
          <w:kern w:val="2"/>
          <w:sz w:val="24"/>
          <w:szCs w:val="24"/>
          <w:lang w:val="en-US" w:eastAsia="zh-CN"/>
        </w:rPr>
        <w:t>日</w:t>
      </w:r>
      <w:r>
        <w:rPr>
          <w:rFonts w:hint="eastAsia" w:cs="华文楷体" w:asciiTheme="minorEastAsia" w:hAnsiTheme="minorEastAsia" w:eastAsiaTheme="minorEastAsia"/>
          <w:color w:val="000000" w:themeColor="text1"/>
          <w:kern w:val="2"/>
          <w:sz w:val="24"/>
          <w:szCs w:val="24"/>
        </w:rPr>
        <w:t>起90日内，响应文件须保持有效。如供应商无特别说明，则视为供应商接受此条款。</w:t>
      </w:r>
      <w:r>
        <w:rPr>
          <w:rFonts w:hint="eastAsia" w:cs="华文楷体" w:asciiTheme="minorEastAsia" w:hAnsiTheme="minorEastAsia" w:eastAsiaTheme="minorEastAsia"/>
          <w:b w:val="0"/>
          <w:bCs w:val="0"/>
          <w:color w:val="000000" w:themeColor="text1"/>
          <w:kern w:val="2"/>
          <w:sz w:val="24"/>
          <w:szCs w:val="24"/>
        </w:rPr>
        <w:t>有效期短于该规定期限</w:t>
      </w:r>
      <w:r>
        <w:rPr>
          <w:rFonts w:hint="eastAsia" w:cs="华文楷体" w:asciiTheme="minorEastAsia" w:hAnsiTheme="minorEastAsia" w:eastAsiaTheme="minorEastAsia"/>
          <w:b w:val="0"/>
          <w:bCs w:val="0"/>
          <w:color w:val="000000" w:themeColor="text1"/>
          <w:kern w:val="2"/>
          <w:sz w:val="24"/>
          <w:szCs w:val="24"/>
          <w:lang w:val="en-US" w:eastAsia="zh-CN"/>
        </w:rPr>
        <w:t>的响应文件</w:t>
      </w:r>
      <w:r>
        <w:rPr>
          <w:rFonts w:hint="eastAsia" w:cs="华文楷体" w:asciiTheme="minorEastAsia" w:hAnsiTheme="minorEastAsia" w:eastAsiaTheme="minorEastAsia"/>
          <w:b w:val="0"/>
          <w:bCs w:val="0"/>
          <w:color w:val="000000" w:themeColor="text1"/>
          <w:kern w:val="2"/>
          <w:sz w:val="24"/>
          <w:szCs w:val="24"/>
        </w:rPr>
        <w:t>，将按无效响应处理</w:t>
      </w:r>
      <w:r>
        <w:rPr>
          <w:rFonts w:hint="eastAsia" w:cs="华文楷体" w:asciiTheme="minorEastAsia" w:hAnsiTheme="minorEastAsia" w:eastAsiaTheme="minorEastAsia"/>
          <w:b/>
          <w:bCs/>
          <w:color w:val="000000" w:themeColor="text1"/>
          <w:kern w:val="2"/>
          <w:sz w:val="24"/>
          <w:szCs w:val="24"/>
        </w:rPr>
        <w:t>。</w:t>
      </w:r>
    </w:p>
    <w:p w14:paraId="50A95CB0">
      <w:pPr>
        <w:pStyle w:val="41"/>
        <w:numPr>
          <w:ilvl w:val="0"/>
          <w:numId w:val="0"/>
        </w:numPr>
        <w:spacing w:line="340" w:lineRule="exact"/>
        <w:ind w:firstLine="240" w:firstLineChars="100"/>
        <w:rPr>
          <w:rFonts w:cs="华文楷体" w:asciiTheme="minorEastAsia" w:hAnsiTheme="minorEastAsia" w:eastAsiaTheme="minorEastAsia"/>
          <w:color w:val="000000" w:themeColor="text1"/>
          <w:sz w:val="24"/>
          <w:szCs w:val="24"/>
        </w:rPr>
      </w:pPr>
      <w:r>
        <w:rPr>
          <w:rFonts w:hint="eastAsia" w:cs="华文楷体" w:asciiTheme="minorEastAsia" w:hAnsiTheme="minorEastAsia" w:eastAsiaTheme="minorEastAsia"/>
          <w:color w:val="000000" w:themeColor="text1"/>
          <w:sz w:val="24"/>
          <w:szCs w:val="24"/>
        </w:rPr>
        <w:t xml:space="preserve">  </w:t>
      </w:r>
      <w:r>
        <w:rPr>
          <w:rFonts w:hint="eastAsia" w:cs="华文楷体" w:asciiTheme="minorEastAsia" w:hAnsiTheme="minorEastAsia" w:eastAsiaTheme="minorEastAsia"/>
          <w:color w:val="000000" w:themeColor="text1"/>
          <w:sz w:val="24"/>
          <w:szCs w:val="24"/>
          <w:lang w:val="en-US" w:eastAsia="zh-CN"/>
        </w:rPr>
        <w:t>6</w:t>
      </w:r>
      <w:r>
        <w:rPr>
          <w:rFonts w:hint="eastAsia" w:cs="华文楷体" w:asciiTheme="minorEastAsia" w:hAnsiTheme="minorEastAsia" w:eastAsiaTheme="minorEastAsia"/>
          <w:color w:val="000000" w:themeColor="text1"/>
          <w:sz w:val="24"/>
          <w:szCs w:val="24"/>
        </w:rPr>
        <w:t>.2 在特殊情况下，采购人可与供应商协商延长响应文件的有效期。这种要求和答复都应以书面形式进行。供应商可以拒绝接受延期要求而不会被列入不良行为记录名单。同意延长有效期的供应商除按照采购人要求修改响应文件有效期外，不</w:t>
      </w:r>
      <w:r>
        <w:rPr>
          <w:rFonts w:hint="eastAsia" w:cs="华文楷体" w:asciiTheme="minorEastAsia" w:hAnsiTheme="minorEastAsia" w:eastAsiaTheme="minorEastAsia"/>
          <w:color w:val="000000" w:themeColor="text1"/>
          <w:sz w:val="24"/>
          <w:szCs w:val="24"/>
          <w:lang w:val="en-US" w:eastAsia="zh-CN"/>
        </w:rPr>
        <w:t>得</w:t>
      </w:r>
      <w:r>
        <w:rPr>
          <w:rFonts w:hint="eastAsia" w:cs="华文楷体" w:asciiTheme="minorEastAsia" w:hAnsiTheme="minorEastAsia" w:eastAsiaTheme="minorEastAsia"/>
          <w:color w:val="000000" w:themeColor="text1"/>
          <w:sz w:val="24"/>
          <w:szCs w:val="24"/>
        </w:rPr>
        <w:t>修改响应文件的其他内容。</w:t>
      </w:r>
    </w:p>
    <w:p w14:paraId="2E017487">
      <w:pPr>
        <w:pStyle w:val="41"/>
        <w:numPr>
          <w:ilvl w:val="0"/>
          <w:numId w:val="0"/>
        </w:numPr>
        <w:spacing w:line="340" w:lineRule="exact"/>
        <w:ind w:firstLine="234" w:firstLineChars="97"/>
        <w:rPr>
          <w:rFonts w:cs="华文楷体" w:asciiTheme="minorEastAsia" w:hAnsiTheme="minorEastAsia" w:eastAsiaTheme="minorEastAsia"/>
          <w:b/>
          <w:color w:val="auto"/>
          <w:sz w:val="24"/>
          <w:szCs w:val="24"/>
          <w:highlight w:val="none"/>
        </w:rPr>
      </w:pPr>
      <w:r>
        <w:rPr>
          <w:rFonts w:hint="eastAsia" w:cs="华文楷体" w:asciiTheme="minorEastAsia" w:hAnsiTheme="minorEastAsia" w:eastAsiaTheme="minorEastAsia"/>
          <w:b/>
          <w:color w:val="auto"/>
          <w:sz w:val="24"/>
          <w:szCs w:val="24"/>
          <w:highlight w:val="none"/>
        </w:rPr>
        <w:t xml:space="preserve">  </w:t>
      </w:r>
      <w:r>
        <w:rPr>
          <w:rFonts w:hint="eastAsia" w:cs="华文楷体" w:asciiTheme="minorEastAsia" w:hAnsiTheme="minorEastAsia" w:eastAsiaTheme="minorEastAsia"/>
          <w:b/>
          <w:color w:val="auto"/>
          <w:sz w:val="24"/>
          <w:szCs w:val="24"/>
          <w:highlight w:val="none"/>
          <w:lang w:val="en-US" w:eastAsia="zh-CN"/>
        </w:rPr>
        <w:t>7</w:t>
      </w:r>
      <w:r>
        <w:rPr>
          <w:rFonts w:hint="eastAsia" w:cs="华文楷体" w:asciiTheme="minorEastAsia" w:hAnsiTheme="minorEastAsia" w:eastAsiaTheme="minorEastAsia"/>
          <w:b/>
          <w:color w:val="auto"/>
          <w:sz w:val="24"/>
          <w:szCs w:val="24"/>
          <w:highlight w:val="none"/>
        </w:rPr>
        <w:t>.响应文件的签署及其他规定</w:t>
      </w:r>
    </w:p>
    <w:p w14:paraId="0CBDBDB9">
      <w:pPr>
        <w:pStyle w:val="41"/>
        <w:numPr>
          <w:ilvl w:val="0"/>
          <w:numId w:val="0"/>
        </w:numPr>
        <w:spacing w:line="340" w:lineRule="exact"/>
        <w:ind w:firstLine="240" w:firstLineChars="100"/>
        <w:rPr>
          <w:rFonts w:cs="华文楷体" w:asciiTheme="minorEastAsia" w:hAnsiTheme="minorEastAsia" w:eastAsiaTheme="minorEastAsia"/>
          <w:color w:val="auto"/>
          <w:sz w:val="24"/>
          <w:szCs w:val="24"/>
          <w:highlight w:val="none"/>
        </w:rPr>
      </w:pPr>
      <w:r>
        <w:rPr>
          <w:rFonts w:hint="eastAsia" w:cs="华文楷体" w:asciiTheme="minorEastAsia" w:hAnsiTheme="minorEastAsia" w:eastAsiaTheme="minorEastAsia"/>
          <w:color w:val="auto"/>
          <w:sz w:val="24"/>
          <w:szCs w:val="24"/>
          <w:highlight w:val="none"/>
        </w:rPr>
        <w:t xml:space="preserve">  </w:t>
      </w:r>
      <w:r>
        <w:rPr>
          <w:rFonts w:hint="eastAsia" w:cs="华文楷体" w:asciiTheme="minorEastAsia" w:hAnsiTheme="minorEastAsia" w:eastAsiaTheme="minorEastAsia"/>
          <w:color w:val="auto"/>
          <w:sz w:val="24"/>
          <w:szCs w:val="24"/>
          <w:highlight w:val="none"/>
          <w:lang w:val="en-US" w:eastAsia="zh-CN"/>
        </w:rPr>
        <w:t>7</w:t>
      </w:r>
      <w:r>
        <w:rPr>
          <w:rFonts w:hint="eastAsia" w:cs="华文楷体" w:asciiTheme="minorEastAsia" w:hAnsiTheme="minorEastAsia" w:eastAsiaTheme="minorEastAsia"/>
          <w:color w:val="auto"/>
          <w:sz w:val="24"/>
          <w:szCs w:val="24"/>
          <w:highlight w:val="none"/>
        </w:rPr>
        <w:t>.</w:t>
      </w:r>
      <w:r>
        <w:rPr>
          <w:rFonts w:hint="eastAsia" w:cs="华文楷体" w:asciiTheme="minorEastAsia" w:hAnsiTheme="minorEastAsia" w:eastAsiaTheme="minorEastAsia"/>
          <w:color w:val="auto"/>
          <w:sz w:val="24"/>
          <w:szCs w:val="24"/>
          <w:highlight w:val="none"/>
          <w:lang w:val="en-US" w:eastAsia="zh-CN"/>
        </w:rPr>
        <w:t>1</w:t>
      </w:r>
      <w:r>
        <w:rPr>
          <w:rFonts w:hint="eastAsia" w:cs="华文楷体" w:asciiTheme="minorEastAsia" w:hAnsiTheme="minorEastAsia" w:eastAsiaTheme="minorEastAsia"/>
          <w:color w:val="auto"/>
          <w:sz w:val="24"/>
          <w:szCs w:val="24"/>
          <w:highlight w:val="none"/>
        </w:rPr>
        <w:t xml:space="preserve"> 法定代表人如授权他人</w:t>
      </w:r>
      <w:r>
        <w:rPr>
          <w:rFonts w:hint="eastAsia" w:cs="华文楷体" w:asciiTheme="minorEastAsia" w:hAnsiTheme="minorEastAsia" w:eastAsiaTheme="minorEastAsia"/>
          <w:color w:val="auto"/>
          <w:sz w:val="24"/>
          <w:szCs w:val="24"/>
          <w:highlight w:val="none"/>
          <w:lang w:val="en-US" w:eastAsia="zh-CN"/>
        </w:rPr>
        <w:t>代为</w:t>
      </w:r>
      <w:r>
        <w:rPr>
          <w:rFonts w:hint="eastAsia" w:cs="华文楷体" w:asciiTheme="minorEastAsia" w:hAnsiTheme="minorEastAsia" w:eastAsiaTheme="minorEastAsia"/>
          <w:color w:val="auto"/>
          <w:sz w:val="24"/>
          <w:szCs w:val="24"/>
          <w:highlight w:val="none"/>
        </w:rPr>
        <w:t>处理一切与本次采购活动有关事宜，须</w:t>
      </w:r>
      <w:r>
        <w:rPr>
          <w:rFonts w:hint="eastAsia" w:cs="华文楷体" w:asciiTheme="minorEastAsia" w:hAnsiTheme="minorEastAsia" w:eastAsiaTheme="minorEastAsia"/>
          <w:color w:val="auto"/>
          <w:sz w:val="24"/>
          <w:szCs w:val="24"/>
          <w:highlight w:val="none"/>
          <w:lang w:val="en-US" w:eastAsia="zh-CN"/>
        </w:rPr>
        <w:t>向采购人提供</w:t>
      </w:r>
      <w:r>
        <w:rPr>
          <w:rFonts w:hint="eastAsia" w:cs="华文楷体" w:asciiTheme="minorEastAsia" w:hAnsiTheme="minorEastAsia" w:eastAsiaTheme="minorEastAsia"/>
          <w:color w:val="auto"/>
          <w:sz w:val="24"/>
          <w:szCs w:val="24"/>
          <w:highlight w:val="none"/>
        </w:rPr>
        <w:t>书面形式的《法定代表人授权委托书》</w:t>
      </w:r>
      <w:r>
        <w:rPr>
          <w:rFonts w:hint="eastAsia" w:cs="华文楷体" w:asciiTheme="minorEastAsia" w:hAnsiTheme="minorEastAsia" w:eastAsiaTheme="minorEastAsia"/>
          <w:b/>
          <w:color w:val="auto"/>
          <w:sz w:val="24"/>
          <w:szCs w:val="24"/>
          <w:highlight w:val="none"/>
        </w:rPr>
        <w:t>。</w:t>
      </w:r>
    </w:p>
    <w:p w14:paraId="5C6ABBAD">
      <w:pPr>
        <w:pStyle w:val="41"/>
        <w:numPr>
          <w:ilvl w:val="0"/>
          <w:numId w:val="0"/>
        </w:numPr>
        <w:tabs>
          <w:tab w:val="clear" w:pos="709"/>
        </w:tabs>
        <w:spacing w:line="340" w:lineRule="exact"/>
        <w:ind w:firstLine="480" w:firstLineChars="200"/>
        <w:rPr>
          <w:rFonts w:cs="华文楷体" w:asciiTheme="minorEastAsia" w:hAnsiTheme="minorEastAsia" w:eastAsiaTheme="minorEastAsia"/>
          <w:b w:val="0"/>
          <w:bCs w:val="0"/>
          <w:color w:val="auto"/>
          <w:sz w:val="24"/>
          <w:szCs w:val="24"/>
          <w:highlight w:val="none"/>
        </w:rPr>
      </w:pPr>
      <w:r>
        <w:rPr>
          <w:rFonts w:hint="eastAsia" w:cs="华文楷体" w:asciiTheme="minorEastAsia" w:hAnsiTheme="minorEastAsia" w:eastAsiaTheme="minorEastAsia"/>
          <w:color w:val="auto"/>
          <w:sz w:val="24"/>
          <w:szCs w:val="24"/>
          <w:highlight w:val="none"/>
          <w:lang w:val="en-US" w:eastAsia="zh-CN"/>
        </w:rPr>
        <w:t>7</w:t>
      </w:r>
      <w:r>
        <w:rPr>
          <w:rFonts w:hint="eastAsia" w:cs="华文楷体" w:asciiTheme="minorEastAsia" w:hAnsiTheme="minorEastAsia" w:eastAsiaTheme="minorEastAsia"/>
          <w:color w:val="auto"/>
          <w:sz w:val="24"/>
          <w:szCs w:val="24"/>
          <w:highlight w:val="none"/>
        </w:rPr>
        <w:t>.</w:t>
      </w:r>
      <w:r>
        <w:rPr>
          <w:rFonts w:hint="eastAsia" w:cs="华文楷体" w:asciiTheme="minorEastAsia" w:hAnsiTheme="minorEastAsia" w:eastAsiaTheme="minorEastAsia"/>
          <w:color w:val="auto"/>
          <w:sz w:val="24"/>
          <w:szCs w:val="24"/>
          <w:highlight w:val="none"/>
          <w:lang w:val="en-US" w:eastAsia="zh-CN"/>
        </w:rPr>
        <w:t>2</w:t>
      </w:r>
      <w:r>
        <w:rPr>
          <w:rFonts w:hint="eastAsia" w:cs="华文楷体" w:asciiTheme="minorEastAsia" w:hAnsiTheme="minorEastAsia" w:eastAsiaTheme="minorEastAsia"/>
          <w:color w:val="auto"/>
          <w:sz w:val="24"/>
          <w:szCs w:val="24"/>
          <w:highlight w:val="none"/>
        </w:rPr>
        <w:t xml:space="preserve"> 响应文件的正本</w:t>
      </w:r>
      <w:r>
        <w:rPr>
          <w:rFonts w:hint="eastAsia" w:cs="华文楷体" w:asciiTheme="minorEastAsia" w:hAnsiTheme="minorEastAsia" w:eastAsiaTheme="minorEastAsia"/>
          <w:color w:val="auto"/>
          <w:sz w:val="24"/>
          <w:szCs w:val="24"/>
          <w:highlight w:val="none"/>
          <w:lang w:val="en-US" w:eastAsia="zh-CN"/>
        </w:rPr>
        <w:t>必须</w:t>
      </w:r>
      <w:r>
        <w:rPr>
          <w:rFonts w:hint="eastAsia" w:cs="华文楷体" w:asciiTheme="minorEastAsia" w:hAnsiTheme="minorEastAsia" w:eastAsiaTheme="minorEastAsia"/>
          <w:color w:val="auto"/>
          <w:sz w:val="24"/>
          <w:szCs w:val="24"/>
          <w:highlight w:val="none"/>
        </w:rPr>
        <w:t>用不褪色的蓝黑墨水填写或打印，注明“正本”字样</w:t>
      </w:r>
      <w:r>
        <w:rPr>
          <w:rFonts w:hint="eastAsia" w:cs="华文楷体" w:asciiTheme="minorEastAsia" w:hAnsiTheme="minorEastAsia" w:eastAsiaTheme="minorEastAsia"/>
          <w:color w:val="auto"/>
          <w:sz w:val="24"/>
          <w:szCs w:val="24"/>
          <w:highlight w:val="none"/>
          <w:lang w:val="en-US" w:eastAsia="zh-CN"/>
        </w:rPr>
        <w:t>并加盖供应商公章（或者法定代表人或其授权代表签字）</w:t>
      </w:r>
      <w:r>
        <w:rPr>
          <w:rFonts w:hint="eastAsia" w:cs="华文楷体" w:asciiTheme="minorEastAsia" w:hAnsiTheme="minorEastAsia" w:eastAsiaTheme="minorEastAsia"/>
          <w:color w:val="auto"/>
          <w:sz w:val="24"/>
          <w:szCs w:val="24"/>
          <w:highlight w:val="none"/>
        </w:rPr>
        <w:t>，</w:t>
      </w:r>
      <w:r>
        <w:rPr>
          <w:rFonts w:hint="eastAsia" w:cs="华文楷体"/>
          <w:sz w:val="24"/>
          <w:szCs w:val="24"/>
        </w:rPr>
        <w:t>响应文件副本，应注明“副本”字样。</w:t>
      </w:r>
    </w:p>
    <w:p w14:paraId="1E317E0A">
      <w:pPr>
        <w:pStyle w:val="41"/>
        <w:numPr>
          <w:ilvl w:val="0"/>
          <w:numId w:val="0"/>
        </w:numPr>
        <w:spacing w:line="340" w:lineRule="exact"/>
        <w:ind w:firstLine="240" w:firstLineChars="100"/>
        <w:rPr>
          <w:rFonts w:cs="华文楷体" w:asciiTheme="minorEastAsia" w:hAnsiTheme="minorEastAsia" w:eastAsiaTheme="minorEastAsia"/>
          <w:b w:val="0"/>
          <w:bCs w:val="0"/>
          <w:color w:val="auto"/>
          <w:sz w:val="24"/>
          <w:szCs w:val="24"/>
          <w:highlight w:val="none"/>
        </w:rPr>
      </w:pPr>
      <w:r>
        <w:rPr>
          <w:rFonts w:hint="eastAsia" w:cs="华文楷体" w:asciiTheme="minorEastAsia" w:hAnsiTheme="minorEastAsia" w:eastAsiaTheme="minorEastAsia"/>
          <w:b w:val="0"/>
          <w:bCs w:val="0"/>
          <w:color w:val="auto"/>
          <w:sz w:val="24"/>
          <w:szCs w:val="24"/>
          <w:highlight w:val="none"/>
        </w:rPr>
        <w:t xml:space="preserve">  </w:t>
      </w:r>
      <w:r>
        <w:rPr>
          <w:rFonts w:hint="eastAsia" w:cs="华文楷体" w:asciiTheme="minorEastAsia" w:hAnsiTheme="minorEastAsia" w:eastAsiaTheme="minorEastAsia"/>
          <w:b w:val="0"/>
          <w:bCs w:val="0"/>
          <w:color w:val="auto"/>
          <w:sz w:val="24"/>
          <w:szCs w:val="24"/>
          <w:highlight w:val="none"/>
          <w:lang w:val="en-US" w:eastAsia="zh-CN"/>
        </w:rPr>
        <w:t>7</w:t>
      </w:r>
      <w:r>
        <w:rPr>
          <w:rFonts w:hint="eastAsia" w:cs="华文楷体" w:asciiTheme="minorEastAsia" w:hAnsiTheme="minorEastAsia" w:eastAsiaTheme="minorEastAsia"/>
          <w:b w:val="0"/>
          <w:bCs w:val="0"/>
          <w:color w:val="auto"/>
          <w:sz w:val="24"/>
          <w:szCs w:val="24"/>
          <w:highlight w:val="none"/>
        </w:rPr>
        <w:t>.</w:t>
      </w:r>
      <w:r>
        <w:rPr>
          <w:rFonts w:hint="eastAsia" w:cs="华文楷体" w:asciiTheme="minorEastAsia" w:hAnsiTheme="minorEastAsia" w:eastAsiaTheme="minorEastAsia"/>
          <w:b w:val="0"/>
          <w:bCs w:val="0"/>
          <w:color w:val="auto"/>
          <w:sz w:val="24"/>
          <w:szCs w:val="24"/>
          <w:highlight w:val="none"/>
          <w:lang w:val="en-US" w:eastAsia="zh-CN"/>
        </w:rPr>
        <w:t>3</w:t>
      </w:r>
      <w:r>
        <w:rPr>
          <w:rFonts w:hint="eastAsia" w:cs="华文楷体" w:asciiTheme="minorEastAsia" w:hAnsiTheme="minorEastAsia" w:eastAsiaTheme="minorEastAsia"/>
          <w:b w:val="0"/>
          <w:bCs w:val="0"/>
          <w:color w:val="auto"/>
          <w:sz w:val="24"/>
          <w:szCs w:val="24"/>
          <w:highlight w:val="none"/>
        </w:rPr>
        <w:t xml:space="preserve"> 响应文件应字迹清楚、内容齐全、不得涂改和增删。如果有修改错漏处，修改处须有供应商公章及法定代表人或其授权代表签字。</w:t>
      </w:r>
    </w:p>
    <w:p w14:paraId="08DD25CD">
      <w:pPr>
        <w:pStyle w:val="41"/>
        <w:numPr>
          <w:ilvl w:val="0"/>
          <w:numId w:val="0"/>
        </w:numPr>
        <w:spacing w:line="340" w:lineRule="exact"/>
        <w:ind w:firstLine="240" w:firstLineChars="100"/>
        <w:rPr>
          <w:rFonts w:cs="华文楷体" w:asciiTheme="minorEastAsia" w:hAnsiTheme="minorEastAsia" w:eastAsiaTheme="minorEastAsia"/>
          <w:color w:val="auto"/>
          <w:sz w:val="24"/>
          <w:szCs w:val="24"/>
          <w:highlight w:val="none"/>
        </w:rPr>
      </w:pPr>
      <w:r>
        <w:rPr>
          <w:rFonts w:hint="eastAsia" w:cs="华文楷体" w:asciiTheme="minorEastAsia" w:hAnsiTheme="minorEastAsia" w:eastAsiaTheme="minorEastAsia"/>
          <w:color w:val="auto"/>
          <w:sz w:val="24"/>
          <w:szCs w:val="24"/>
          <w:highlight w:val="none"/>
        </w:rPr>
        <w:t xml:space="preserve">  </w:t>
      </w:r>
      <w:r>
        <w:rPr>
          <w:rFonts w:hint="eastAsia" w:cs="华文楷体" w:asciiTheme="minorEastAsia" w:hAnsiTheme="minorEastAsia" w:eastAsiaTheme="minorEastAsia"/>
          <w:color w:val="auto"/>
          <w:sz w:val="24"/>
          <w:szCs w:val="24"/>
          <w:highlight w:val="none"/>
          <w:lang w:val="en-US" w:eastAsia="zh-CN"/>
        </w:rPr>
        <w:t>7</w:t>
      </w:r>
      <w:r>
        <w:rPr>
          <w:rFonts w:hint="eastAsia" w:cs="华文楷体" w:asciiTheme="minorEastAsia" w:hAnsiTheme="minorEastAsia" w:eastAsiaTheme="minorEastAsia"/>
          <w:color w:val="auto"/>
          <w:sz w:val="24"/>
          <w:szCs w:val="24"/>
          <w:highlight w:val="none"/>
        </w:rPr>
        <w:t>.</w:t>
      </w:r>
      <w:r>
        <w:rPr>
          <w:rFonts w:hint="eastAsia" w:cs="华文楷体" w:asciiTheme="minorEastAsia" w:hAnsiTheme="minorEastAsia" w:eastAsiaTheme="minorEastAsia"/>
          <w:color w:val="auto"/>
          <w:sz w:val="24"/>
          <w:szCs w:val="24"/>
          <w:highlight w:val="none"/>
          <w:lang w:val="en-US" w:eastAsia="zh-CN"/>
        </w:rPr>
        <w:t>4</w:t>
      </w:r>
      <w:r>
        <w:rPr>
          <w:rFonts w:hint="eastAsia" w:cs="华文楷体" w:asciiTheme="minorEastAsia" w:hAnsiTheme="minorEastAsia" w:eastAsiaTheme="minorEastAsia"/>
          <w:color w:val="auto"/>
          <w:sz w:val="24"/>
          <w:szCs w:val="24"/>
          <w:highlight w:val="none"/>
        </w:rPr>
        <w:t>因响应文件字迹潦草或表达不清造成的后果由供应商承担。</w:t>
      </w:r>
    </w:p>
    <w:p w14:paraId="566882F9">
      <w:pPr>
        <w:pStyle w:val="43"/>
        <w:rPr>
          <w:b w:val="0"/>
          <w:bCs/>
          <w:color w:val="auto"/>
          <w:highlight w:val="none"/>
        </w:rPr>
      </w:pPr>
      <w:r>
        <w:rPr>
          <w:rFonts w:hint="eastAsia"/>
          <w:b w:val="0"/>
          <w:bCs/>
          <w:color w:val="auto"/>
          <w:highlight w:val="none"/>
        </w:rPr>
        <w:t>三、响应文件的递交</w:t>
      </w:r>
    </w:p>
    <w:p w14:paraId="3300ACF6">
      <w:pPr>
        <w:pStyle w:val="41"/>
        <w:numPr>
          <w:ilvl w:val="0"/>
          <w:numId w:val="0"/>
        </w:numPr>
        <w:tabs>
          <w:tab w:val="left" w:pos="480"/>
        </w:tabs>
        <w:spacing w:line="340" w:lineRule="exact"/>
        <w:ind w:firstLine="480" w:firstLineChars="200"/>
        <w:rPr>
          <w:rFonts w:cs="华文楷体" w:asciiTheme="minorEastAsia" w:hAnsiTheme="minorEastAsia" w:eastAsiaTheme="minorEastAsia"/>
          <w:b w:val="0"/>
          <w:bCs/>
          <w:color w:val="auto"/>
          <w:sz w:val="24"/>
          <w:szCs w:val="24"/>
          <w:highlight w:val="none"/>
        </w:rPr>
      </w:pPr>
      <w:r>
        <w:rPr>
          <w:rFonts w:hint="eastAsia" w:cs="华文楷体" w:asciiTheme="minorEastAsia" w:hAnsiTheme="minorEastAsia" w:eastAsiaTheme="minorEastAsia"/>
          <w:b w:val="0"/>
          <w:bCs/>
          <w:color w:val="auto"/>
          <w:sz w:val="24"/>
          <w:szCs w:val="24"/>
          <w:highlight w:val="none"/>
        </w:rPr>
        <w:t>1.密封及标记</w:t>
      </w:r>
    </w:p>
    <w:p w14:paraId="463F151E">
      <w:pPr>
        <w:pStyle w:val="41"/>
        <w:numPr>
          <w:ilvl w:val="0"/>
          <w:numId w:val="0"/>
        </w:numPr>
        <w:tabs>
          <w:tab w:val="left" w:pos="0"/>
        </w:tabs>
        <w:spacing w:line="340" w:lineRule="exact"/>
        <w:ind w:left="420" w:leftChars="200"/>
        <w:rPr>
          <w:rFonts w:hint="eastAsia" w:ascii="宋体" w:hAnsi="宋体"/>
          <w:b w:val="0"/>
          <w:bCs/>
          <w:color w:val="auto"/>
          <w:sz w:val="24"/>
          <w:highlight w:val="none"/>
        </w:rPr>
      </w:pPr>
      <w:r>
        <w:rPr>
          <w:rFonts w:hint="eastAsia" w:cs="华文楷体" w:asciiTheme="minorEastAsia" w:hAnsiTheme="minorEastAsia" w:eastAsiaTheme="minorEastAsia"/>
          <w:b w:val="0"/>
          <w:bCs/>
          <w:color w:val="auto"/>
          <w:sz w:val="24"/>
          <w:szCs w:val="24"/>
          <w:highlight w:val="none"/>
        </w:rPr>
        <w:t>1.1</w:t>
      </w:r>
      <w:r>
        <w:rPr>
          <w:rFonts w:hint="eastAsia" w:cs="华文楷体" w:asciiTheme="minorEastAsia" w:hAnsiTheme="minorEastAsia" w:eastAsiaTheme="minorEastAsia"/>
          <w:b w:val="0"/>
          <w:bCs/>
          <w:color w:val="auto"/>
          <w:sz w:val="24"/>
          <w:highlight w:val="none"/>
        </w:rPr>
        <w:t>响应文件</w:t>
      </w:r>
      <w:r>
        <w:rPr>
          <w:rFonts w:hint="eastAsia" w:cs="华文楷体" w:asciiTheme="minorEastAsia" w:hAnsiTheme="minorEastAsia" w:eastAsiaTheme="minorEastAsia"/>
          <w:b w:val="0"/>
          <w:bCs/>
          <w:color w:val="auto"/>
          <w:sz w:val="24"/>
          <w:highlight w:val="none"/>
          <w:lang w:val="en-US" w:eastAsia="zh-CN"/>
        </w:rPr>
        <w:t>须统一密封于一个包裹</w:t>
      </w:r>
      <w:r>
        <w:rPr>
          <w:rFonts w:hint="eastAsia" w:cs="华文楷体" w:asciiTheme="minorEastAsia" w:hAnsiTheme="minorEastAsia" w:eastAsiaTheme="minorEastAsia"/>
          <w:b w:val="0"/>
          <w:bCs/>
          <w:color w:val="auto"/>
          <w:sz w:val="24"/>
          <w:highlight w:val="none"/>
        </w:rPr>
        <w:t>，内装响应文件</w:t>
      </w:r>
      <w:r>
        <w:rPr>
          <w:rFonts w:hint="eastAsia" w:cs="华文楷体" w:asciiTheme="minorEastAsia" w:hAnsiTheme="minorEastAsia" w:eastAsiaTheme="minorEastAsia"/>
          <w:b/>
          <w:bCs w:val="0"/>
          <w:color w:val="auto"/>
          <w:sz w:val="24"/>
          <w:highlight w:val="none"/>
        </w:rPr>
        <w:t>正副本共</w:t>
      </w:r>
      <w:r>
        <w:rPr>
          <w:rFonts w:cs="华文楷体" w:asciiTheme="minorEastAsia" w:hAnsiTheme="minorEastAsia" w:eastAsiaTheme="minorEastAsia"/>
          <w:b/>
          <w:bCs w:val="0"/>
          <w:color w:val="auto"/>
          <w:sz w:val="24"/>
          <w:highlight w:val="none"/>
        </w:rPr>
        <w:t>6</w:t>
      </w:r>
      <w:r>
        <w:rPr>
          <w:rFonts w:hint="eastAsia" w:cs="华文楷体" w:asciiTheme="minorEastAsia" w:hAnsiTheme="minorEastAsia" w:eastAsiaTheme="minorEastAsia"/>
          <w:b/>
          <w:bCs w:val="0"/>
          <w:color w:val="auto"/>
          <w:sz w:val="24"/>
          <w:highlight w:val="none"/>
        </w:rPr>
        <w:t>份（</w:t>
      </w:r>
      <w:r>
        <w:rPr>
          <w:rFonts w:hint="eastAsia" w:cs="华文楷体" w:asciiTheme="minorEastAsia" w:hAnsiTheme="minorEastAsia" w:eastAsiaTheme="minorEastAsia"/>
          <w:b/>
          <w:bCs w:val="0"/>
          <w:color w:val="auto"/>
          <w:sz w:val="24"/>
          <w:highlight w:val="none"/>
          <w:lang w:val="en-US" w:eastAsia="zh-CN"/>
        </w:rPr>
        <w:t>正本1份，副本5份</w:t>
      </w:r>
      <w:r>
        <w:rPr>
          <w:rFonts w:hint="eastAsia" w:cs="华文楷体" w:asciiTheme="minorEastAsia" w:hAnsiTheme="minorEastAsia" w:eastAsiaTheme="minorEastAsia"/>
          <w:b/>
          <w:bCs w:val="0"/>
          <w:color w:val="auto"/>
          <w:sz w:val="24"/>
          <w:highlight w:val="none"/>
        </w:rPr>
        <w:t>）</w:t>
      </w:r>
      <w:r>
        <w:rPr>
          <w:rFonts w:hint="eastAsia" w:cs="华文楷体" w:asciiTheme="minorEastAsia" w:hAnsiTheme="minorEastAsia" w:eastAsiaTheme="minorEastAsia"/>
          <w:b w:val="0"/>
          <w:bCs/>
          <w:color w:val="auto"/>
          <w:sz w:val="24"/>
          <w:highlight w:val="none"/>
        </w:rPr>
        <w:t>。</w:t>
      </w:r>
      <w:r>
        <w:rPr>
          <w:rFonts w:hint="eastAsia" w:ascii="宋体" w:hAnsi="宋体"/>
          <w:b w:val="0"/>
          <w:bCs/>
          <w:color w:val="auto"/>
          <w:sz w:val="24"/>
          <w:highlight w:val="none"/>
          <w:lang w:val="en-US" w:eastAsia="zh-CN"/>
        </w:rPr>
        <w:t>不得分开封装</w:t>
      </w:r>
      <w:r>
        <w:rPr>
          <w:rFonts w:hint="eastAsia" w:ascii="宋体" w:hAnsi="宋体"/>
          <w:b w:val="0"/>
          <w:bCs/>
          <w:color w:val="auto"/>
          <w:sz w:val="24"/>
          <w:highlight w:val="none"/>
        </w:rPr>
        <w:t>。</w:t>
      </w:r>
    </w:p>
    <w:p w14:paraId="57AC9A7B">
      <w:pPr>
        <w:pStyle w:val="41"/>
        <w:numPr>
          <w:ilvl w:val="0"/>
          <w:numId w:val="0"/>
        </w:numPr>
        <w:tabs>
          <w:tab w:val="left" w:pos="0"/>
        </w:tabs>
        <w:spacing w:line="340" w:lineRule="exact"/>
        <w:ind w:left="420" w:leftChars="200"/>
        <w:rPr>
          <w:rFonts w:hint="default" w:cs="华文楷体" w:asciiTheme="minorEastAsia" w:hAnsiTheme="minorEastAsia" w:eastAsiaTheme="minorEastAsia"/>
          <w:b w:val="0"/>
          <w:bCs/>
          <w:color w:val="auto"/>
          <w:sz w:val="24"/>
          <w:highlight w:val="none"/>
          <w:lang w:val="en-US" w:eastAsia="zh-CN"/>
        </w:rPr>
      </w:pPr>
      <w:r>
        <w:rPr>
          <w:rFonts w:hint="eastAsia"/>
          <w:b w:val="0"/>
          <w:bCs/>
          <w:color w:val="auto"/>
          <w:sz w:val="24"/>
          <w:highlight w:val="none"/>
          <w:lang w:val="en-US" w:eastAsia="zh-CN"/>
        </w:rPr>
        <w:t>1.2包裹的</w:t>
      </w:r>
      <w:r>
        <w:rPr>
          <w:rFonts w:hint="eastAsia" w:cs="华文楷体" w:asciiTheme="minorEastAsia" w:hAnsiTheme="minorEastAsia" w:eastAsiaTheme="minorEastAsia"/>
          <w:b w:val="0"/>
          <w:bCs/>
          <w:color w:val="auto"/>
          <w:sz w:val="24"/>
          <w:highlight w:val="none"/>
          <w:lang w:val="en-US" w:eastAsia="zh-CN"/>
        </w:rPr>
        <w:t>封皮须按以下方式标记：</w:t>
      </w:r>
      <w:r>
        <w:rPr>
          <w:rFonts w:hint="eastAsia" w:cs="华文楷体" w:asciiTheme="minorEastAsia" w:hAnsiTheme="minorEastAsia" w:eastAsiaTheme="minorEastAsia"/>
          <w:b w:val="0"/>
          <w:bCs/>
          <w:color w:val="auto"/>
          <w:sz w:val="24"/>
          <w:highlight w:val="none"/>
        </w:rPr>
        <w:t>项目编号、项目名称、供应商全称</w:t>
      </w:r>
      <w:r>
        <w:rPr>
          <w:rFonts w:hint="eastAsia" w:cs="华文楷体" w:asciiTheme="minorEastAsia" w:hAnsiTheme="minorEastAsia" w:eastAsiaTheme="minorEastAsia"/>
          <w:b w:val="0"/>
          <w:bCs/>
          <w:color w:val="auto"/>
          <w:sz w:val="24"/>
          <w:highlight w:val="none"/>
          <w:lang w:val="en-US" w:eastAsia="zh-CN"/>
        </w:rPr>
        <w:t>等信息。</w:t>
      </w:r>
    </w:p>
    <w:p w14:paraId="4174826A">
      <w:pPr>
        <w:spacing w:line="340" w:lineRule="exact"/>
        <w:ind w:firstLine="480" w:firstLineChars="200"/>
        <w:rPr>
          <w:rFonts w:hint="default" w:cs="华文楷体" w:asciiTheme="minorEastAsia" w:hAnsiTheme="minorEastAsia" w:eastAsiaTheme="minorEastAsia"/>
          <w:b/>
          <w:color w:val="auto"/>
          <w:sz w:val="24"/>
          <w:lang w:val="en-US"/>
        </w:rPr>
      </w:pPr>
      <w:r>
        <w:rPr>
          <w:rFonts w:hint="eastAsia" w:cs="华文楷体" w:asciiTheme="minorEastAsia" w:hAnsiTheme="minorEastAsia" w:eastAsiaTheme="minorEastAsia"/>
          <w:b w:val="0"/>
          <w:bCs/>
          <w:color w:val="auto"/>
          <w:sz w:val="24"/>
          <w:highlight w:val="none"/>
        </w:rPr>
        <w:t>1.</w:t>
      </w:r>
      <w:r>
        <w:rPr>
          <w:rFonts w:hint="eastAsia" w:cs="华文楷体" w:asciiTheme="minorEastAsia" w:hAnsiTheme="minorEastAsia" w:eastAsiaTheme="minorEastAsia"/>
          <w:b w:val="0"/>
          <w:bCs/>
          <w:color w:val="auto"/>
          <w:sz w:val="24"/>
          <w:highlight w:val="none"/>
          <w:lang w:val="en-US" w:eastAsia="zh-CN"/>
        </w:rPr>
        <w:t>3因未做信息标记导致密封响应文件的包裹被采购人</w:t>
      </w:r>
      <w:r>
        <w:rPr>
          <w:rFonts w:hint="eastAsia" w:cs="华文楷体" w:asciiTheme="minorEastAsia" w:hAnsiTheme="minorEastAsia" w:eastAsiaTheme="minorEastAsia"/>
          <w:b w:val="0"/>
          <w:bCs/>
          <w:color w:val="auto"/>
          <w:sz w:val="24"/>
          <w:highlight w:val="none"/>
        </w:rPr>
        <w:t>提前启封</w:t>
      </w:r>
      <w:r>
        <w:rPr>
          <w:rFonts w:hint="eastAsia" w:cs="华文楷体" w:asciiTheme="minorEastAsia" w:hAnsiTheme="minorEastAsia" w:eastAsiaTheme="minorEastAsia"/>
          <w:b w:val="0"/>
          <w:bCs/>
          <w:color w:val="auto"/>
          <w:sz w:val="24"/>
          <w:highlight w:val="none"/>
          <w:lang w:eastAsia="zh-CN"/>
        </w:rPr>
        <w:t>，</w:t>
      </w:r>
      <w:r>
        <w:rPr>
          <w:rFonts w:hint="eastAsia" w:cs="华文楷体" w:asciiTheme="minorEastAsia" w:hAnsiTheme="minorEastAsia" w:eastAsiaTheme="minorEastAsia"/>
          <w:b w:val="0"/>
          <w:bCs/>
          <w:color w:val="auto"/>
          <w:sz w:val="24"/>
          <w:highlight w:val="none"/>
          <w:lang w:val="en-US" w:eastAsia="zh-CN"/>
        </w:rPr>
        <w:t>采购人概不负责。对由此造成提前开封的响应文件，采购人有权予以拒绝接收。</w:t>
      </w:r>
    </w:p>
    <w:p w14:paraId="7C421CE1">
      <w:pPr>
        <w:pStyle w:val="41"/>
        <w:numPr>
          <w:ilvl w:val="0"/>
          <w:numId w:val="0"/>
        </w:numPr>
        <w:tabs>
          <w:tab w:val="left" w:pos="480"/>
        </w:tabs>
        <w:spacing w:line="340" w:lineRule="exact"/>
        <w:ind w:firstLine="482" w:firstLine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2.响应截止时间</w:t>
      </w:r>
    </w:p>
    <w:p w14:paraId="545EB25E">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2.1响应文件须</w:t>
      </w:r>
      <w:r>
        <w:rPr>
          <w:rFonts w:hint="eastAsia" w:cs="华文楷体" w:asciiTheme="minorEastAsia" w:hAnsiTheme="minorEastAsia" w:eastAsiaTheme="minorEastAsia"/>
          <w:color w:val="000000" w:themeColor="text1"/>
          <w:sz w:val="24"/>
          <w:lang w:val="en-US" w:eastAsia="zh-CN"/>
        </w:rPr>
        <w:t>按</w:t>
      </w:r>
      <w:r>
        <w:rPr>
          <w:rFonts w:hint="eastAsia" w:cs="华文楷体" w:asciiTheme="minorEastAsia" w:hAnsiTheme="minorEastAsia" w:eastAsiaTheme="minorEastAsia"/>
          <w:color w:val="000000" w:themeColor="text1"/>
          <w:sz w:val="24"/>
        </w:rPr>
        <w:t>规定的时间、地点送达。</w:t>
      </w:r>
    </w:p>
    <w:p w14:paraId="6ABDA0E6">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2.2采购人推迟</w:t>
      </w:r>
      <w:r>
        <w:rPr>
          <w:rFonts w:hint="eastAsia" w:cs="华文楷体" w:asciiTheme="minorEastAsia" w:hAnsiTheme="minorEastAsia" w:eastAsiaTheme="minorEastAsia"/>
          <w:color w:val="000000" w:themeColor="text1"/>
          <w:sz w:val="24"/>
          <w:lang w:val="en-US" w:eastAsia="zh-CN"/>
        </w:rPr>
        <w:t>响应</w:t>
      </w:r>
      <w:r>
        <w:rPr>
          <w:rFonts w:hint="eastAsia" w:cs="华文楷体" w:asciiTheme="minorEastAsia" w:hAnsiTheme="minorEastAsia" w:eastAsiaTheme="minorEastAsia"/>
          <w:color w:val="000000" w:themeColor="text1"/>
          <w:sz w:val="24"/>
        </w:rPr>
        <w:t>截止时间时，采购人和供应商的的权利及义务将受变更后的截止时间约束。</w:t>
      </w:r>
    </w:p>
    <w:p w14:paraId="0D5C0439">
      <w:pPr>
        <w:pStyle w:val="41"/>
        <w:numPr>
          <w:ilvl w:val="0"/>
          <w:numId w:val="0"/>
        </w:numPr>
        <w:tabs>
          <w:tab w:val="left" w:pos="480"/>
        </w:tabs>
        <w:spacing w:line="340" w:lineRule="exact"/>
        <w:ind w:firstLine="482" w:firstLine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3.响应文件的修改和撤回</w:t>
      </w:r>
    </w:p>
    <w:p w14:paraId="791B4AC8">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3.1如供应商要求修改和撤回响应文件的，应以书面形式提出，由其法定代表人或授权代表签字，</w:t>
      </w:r>
      <w:r>
        <w:rPr>
          <w:rFonts w:hint="eastAsia" w:cs="华文楷体" w:asciiTheme="minorEastAsia" w:hAnsiTheme="minorEastAsia" w:eastAsiaTheme="minorEastAsia"/>
          <w:b/>
          <w:color w:val="000000" w:themeColor="text1"/>
          <w:sz w:val="24"/>
        </w:rPr>
        <w:t>须在递交响应文件的截止时间之前提交，经采购人确认接收，否则无效。</w:t>
      </w:r>
    </w:p>
    <w:p w14:paraId="66308E47">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3.2供应商修改响应文件的书面材料须</w:t>
      </w:r>
      <w:r>
        <w:rPr>
          <w:rFonts w:hint="eastAsia" w:cs="华文楷体" w:asciiTheme="minorEastAsia" w:hAnsiTheme="minorEastAsia" w:eastAsiaTheme="minorEastAsia"/>
          <w:color w:val="000000" w:themeColor="text1"/>
          <w:sz w:val="24"/>
          <w:lang w:val="en-US" w:eastAsia="zh-CN"/>
        </w:rPr>
        <w:t>密封提交</w:t>
      </w:r>
      <w:r>
        <w:rPr>
          <w:rFonts w:hint="eastAsia" w:ascii="宋体" w:hAnsi="宋体" w:cs="宋体"/>
          <w:sz w:val="24"/>
        </w:rPr>
        <w:t>，</w:t>
      </w:r>
      <w:r>
        <w:rPr>
          <w:rFonts w:hint="eastAsia" w:ascii="宋体" w:hAnsi="宋体" w:cs="宋体"/>
          <w:sz w:val="24"/>
          <w:lang w:val="en-US" w:eastAsia="zh-CN"/>
        </w:rPr>
        <w:t>其封皮上须注明“</w:t>
      </w:r>
      <w:r>
        <w:rPr>
          <w:rFonts w:hint="eastAsia" w:ascii="宋体" w:hAnsi="宋体" w:cs="宋体"/>
          <w:b/>
          <w:bCs/>
          <w:sz w:val="24"/>
        </w:rPr>
        <w:t>修改响应文件</w:t>
      </w:r>
      <w:r>
        <w:rPr>
          <w:rFonts w:hint="eastAsia" w:ascii="宋体" w:hAnsi="宋体" w:cs="宋体"/>
          <w:b/>
          <w:bCs/>
          <w:sz w:val="24"/>
          <w:lang w:eastAsia="zh-CN"/>
        </w:rPr>
        <w:t>”</w:t>
      </w:r>
      <w:r>
        <w:rPr>
          <w:rFonts w:hint="eastAsia" w:ascii="宋体" w:hAnsi="宋体" w:cs="宋体"/>
          <w:b/>
          <w:bCs/>
          <w:sz w:val="24"/>
          <w:lang w:val="en-US" w:eastAsia="zh-CN"/>
        </w:rPr>
        <w:t>字样并注明项目编号和项目名称</w:t>
      </w:r>
      <w:r>
        <w:rPr>
          <w:rFonts w:hint="eastAsia" w:ascii="宋体" w:hAnsi="宋体" w:cs="宋体"/>
          <w:sz w:val="24"/>
        </w:rPr>
        <w:t>。</w:t>
      </w:r>
    </w:p>
    <w:p w14:paraId="491F05C3">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3.3在递交响应文件截止时间之后，供应商不得撤回</w:t>
      </w:r>
      <w:r>
        <w:rPr>
          <w:rFonts w:hint="eastAsia" w:cs="华文楷体" w:asciiTheme="minorEastAsia" w:hAnsiTheme="minorEastAsia" w:eastAsiaTheme="minorEastAsia"/>
          <w:color w:val="000000" w:themeColor="text1"/>
          <w:sz w:val="24"/>
          <w:lang w:val="en-US" w:eastAsia="zh-CN"/>
        </w:rPr>
        <w:t>其响应文件</w:t>
      </w:r>
      <w:r>
        <w:rPr>
          <w:rFonts w:hint="eastAsia" w:cs="华文楷体" w:asciiTheme="minorEastAsia" w:hAnsiTheme="minorEastAsia" w:eastAsiaTheme="minorEastAsia"/>
          <w:color w:val="000000" w:themeColor="text1"/>
          <w:sz w:val="24"/>
        </w:rPr>
        <w:t>。否则</w:t>
      </w:r>
      <w:r>
        <w:rPr>
          <w:rFonts w:hint="eastAsia" w:cs="华文楷体" w:asciiTheme="minorEastAsia" w:hAnsiTheme="minorEastAsia" w:eastAsiaTheme="minorEastAsia"/>
          <w:color w:val="000000" w:themeColor="text1"/>
          <w:sz w:val="24"/>
          <w:lang w:val="en-US" w:eastAsia="zh-CN"/>
        </w:rPr>
        <w:t>其行为</w:t>
      </w:r>
      <w:r>
        <w:rPr>
          <w:rFonts w:hint="eastAsia" w:cs="华文楷体" w:asciiTheme="minorEastAsia" w:hAnsiTheme="minorEastAsia" w:eastAsiaTheme="minorEastAsia"/>
          <w:color w:val="000000" w:themeColor="text1"/>
          <w:sz w:val="24"/>
        </w:rPr>
        <w:t>将被记录在案，其造成的所有不良影响由供应商承担。</w:t>
      </w:r>
    </w:p>
    <w:p w14:paraId="0070FB07">
      <w:pPr>
        <w:pStyle w:val="43"/>
        <w:rPr>
          <w:b/>
          <w:bCs/>
        </w:rPr>
      </w:pPr>
      <w:r>
        <w:rPr>
          <w:rFonts w:hint="eastAsia"/>
          <w:b/>
          <w:bCs/>
        </w:rPr>
        <w:t>四、评审方法和评审标准</w:t>
      </w:r>
    </w:p>
    <w:p w14:paraId="43B9075C">
      <w:pPr>
        <w:ind w:firstLine="477" w:firstLineChars="199"/>
        <w:rPr>
          <w:rFonts w:ascii="宋体" w:hAnsi="宋体" w:cs="宋体"/>
          <w:sz w:val="24"/>
        </w:rPr>
      </w:pPr>
      <w:r>
        <w:rPr>
          <w:rFonts w:hint="eastAsia" w:ascii="宋体" w:hAnsi="宋体" w:cs="宋体"/>
          <w:sz w:val="24"/>
        </w:rPr>
        <w:t>1.</w:t>
      </w:r>
      <w:r>
        <w:rPr>
          <w:rFonts w:hint="eastAsia" w:ascii="宋体" w:hAnsi="宋体" w:cs="宋体"/>
          <w:b/>
          <w:bCs/>
          <w:sz w:val="24"/>
        </w:rPr>
        <w:t>评审方法</w:t>
      </w:r>
      <w:r>
        <w:rPr>
          <w:rFonts w:hint="eastAsia" w:ascii="宋体" w:hAnsi="宋体" w:cs="宋体"/>
          <w:sz w:val="24"/>
        </w:rPr>
        <w:t>：综合评分法</w:t>
      </w:r>
    </w:p>
    <w:p w14:paraId="2595AAED">
      <w:pPr>
        <w:ind w:firstLine="480" w:firstLineChars="200"/>
        <w:rPr>
          <w:rFonts w:hint="eastAsia" w:ascii="宋体" w:hAnsi="宋体" w:cs="宋体"/>
          <w:sz w:val="24"/>
          <w:lang w:val="en-US" w:eastAsia="zh-CN"/>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b/>
          <w:bCs/>
          <w:sz w:val="24"/>
          <w:lang w:val="en-US" w:eastAsia="zh-CN"/>
        </w:rPr>
        <w:t>评审原则</w:t>
      </w:r>
      <w:r>
        <w:rPr>
          <w:rFonts w:hint="eastAsia" w:ascii="宋体" w:hAnsi="宋体" w:cs="宋体"/>
          <w:sz w:val="24"/>
          <w:lang w:val="en-US" w:eastAsia="zh-CN"/>
        </w:rPr>
        <w:t>：磋商小组本着公平，公正，科学，择优的原则评审。</w:t>
      </w:r>
    </w:p>
    <w:p w14:paraId="01941355">
      <w:pPr>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b/>
          <w:bCs/>
          <w:sz w:val="24"/>
          <w:lang w:val="en-US" w:eastAsia="zh-CN"/>
        </w:rPr>
        <w:t>.评审</w:t>
      </w:r>
      <w:r>
        <w:rPr>
          <w:rFonts w:hint="eastAsia" w:ascii="宋体" w:hAnsi="宋体" w:cs="宋体"/>
          <w:b/>
          <w:bCs/>
          <w:sz w:val="24"/>
        </w:rPr>
        <w:t>程序</w:t>
      </w:r>
      <w:r>
        <w:rPr>
          <w:rFonts w:hint="eastAsia" w:ascii="宋体" w:hAnsi="宋体" w:cs="宋体"/>
          <w:sz w:val="24"/>
        </w:rPr>
        <w:t>：</w:t>
      </w:r>
    </w:p>
    <w:p w14:paraId="602F2D2F">
      <w:pPr>
        <w:pStyle w:val="6"/>
        <w:ind w:firstLine="480"/>
        <w:rPr>
          <w:rFonts w:hint="eastAsia" w:ascii="宋体" w:hAnsi="宋体" w:cs="宋体"/>
          <w:sz w:val="24"/>
          <w:lang w:val="en-US" w:eastAsia="zh-CN"/>
        </w:rPr>
      </w:pPr>
      <w:r>
        <w:rPr>
          <w:rFonts w:hint="eastAsia" w:ascii="宋体" w:hAnsi="宋体" w:cs="宋体"/>
          <w:sz w:val="24"/>
          <w:lang w:val="en-US" w:eastAsia="zh-CN"/>
        </w:rPr>
        <w:t>3.1</w:t>
      </w:r>
      <w:r>
        <w:rPr>
          <w:rFonts w:hint="eastAsia" w:ascii="宋体" w:hAnsi="宋体" w:cs="宋体"/>
          <w:b/>
          <w:bCs/>
          <w:sz w:val="24"/>
          <w:lang w:val="en-US" w:eastAsia="zh-CN"/>
        </w:rPr>
        <w:t>开标</w:t>
      </w:r>
    </w:p>
    <w:p w14:paraId="73BD607F">
      <w:pPr>
        <w:pStyle w:val="6"/>
        <w:ind w:firstLine="480"/>
        <w:rPr>
          <w:rFonts w:hint="eastAsia" w:ascii="宋体" w:hAnsi="宋体" w:cs="宋体"/>
          <w:sz w:val="24"/>
          <w:lang w:val="en-US" w:eastAsia="zh-CN"/>
        </w:rPr>
      </w:pPr>
    </w:p>
    <w:p w14:paraId="33F8D716">
      <w:pPr>
        <w:pStyle w:val="6"/>
        <w:ind w:firstLine="480"/>
        <w:rPr>
          <w:rFonts w:hint="eastAsia" w:ascii="宋体" w:hAnsi="宋体" w:cs="宋体"/>
          <w:b/>
          <w:bCs/>
          <w:sz w:val="24"/>
          <w:lang w:val="en-US" w:eastAsia="zh-CN"/>
        </w:rPr>
      </w:pPr>
      <w:r>
        <w:rPr>
          <w:rFonts w:hint="eastAsia" w:ascii="宋体" w:hAnsi="宋体" w:cs="宋体"/>
          <w:sz w:val="24"/>
          <w:lang w:val="en-US" w:eastAsia="zh-CN"/>
        </w:rPr>
        <w:t>3.2</w:t>
      </w:r>
      <w:r>
        <w:rPr>
          <w:rFonts w:hint="eastAsia" w:ascii="宋体" w:hAnsi="宋体" w:cs="宋体"/>
          <w:b/>
          <w:bCs/>
          <w:sz w:val="24"/>
          <w:lang w:val="en-US" w:eastAsia="zh-CN"/>
        </w:rPr>
        <w:t>磋商</w:t>
      </w:r>
    </w:p>
    <w:p w14:paraId="6CA5C62C">
      <w:pPr>
        <w:pStyle w:val="6"/>
        <w:ind w:firstLine="480"/>
        <w:rPr>
          <w:rFonts w:hint="eastAsia" w:ascii="宋体" w:hAnsi="宋体" w:cs="宋体"/>
          <w:b/>
          <w:bCs/>
          <w:sz w:val="24"/>
          <w:lang w:val="en-US" w:eastAsia="zh-CN"/>
        </w:rPr>
      </w:pPr>
      <w:r>
        <w:rPr>
          <w:rFonts w:hint="eastAsia" w:ascii="宋体" w:hAnsi="宋体"/>
          <w:sz w:val="24"/>
          <w:lang w:val="en-US" w:eastAsia="zh-CN"/>
        </w:rPr>
        <w:t>磋商小组</w:t>
      </w:r>
      <w:r>
        <w:rPr>
          <w:rFonts w:hint="eastAsia" w:ascii="宋体" w:hAnsi="宋体"/>
          <w:sz w:val="24"/>
        </w:rPr>
        <w:t>视情况与供应商逐一磋商</w:t>
      </w:r>
      <w:r>
        <w:rPr>
          <w:rFonts w:hint="eastAsia" w:ascii="宋体" w:hAnsi="宋体"/>
          <w:sz w:val="24"/>
          <w:lang w:eastAsia="zh-CN"/>
        </w:rPr>
        <w:t>，</w:t>
      </w:r>
      <w:r>
        <w:rPr>
          <w:rFonts w:hint="eastAsia" w:ascii="宋体" w:hAnsi="宋体"/>
          <w:sz w:val="24"/>
          <w:lang w:val="en-US" w:eastAsia="zh-CN"/>
        </w:rPr>
        <w:t>如响应文件内容</w:t>
      </w:r>
      <w:r>
        <w:rPr>
          <w:rFonts w:hint="eastAsia" w:ascii="宋体" w:hAnsi="宋体"/>
          <w:sz w:val="24"/>
        </w:rPr>
        <w:t>清晰明确</w:t>
      </w:r>
      <w:r>
        <w:rPr>
          <w:rFonts w:hint="eastAsia" w:ascii="宋体" w:hAnsi="宋体"/>
          <w:sz w:val="24"/>
          <w:lang w:eastAsia="zh-CN"/>
        </w:rPr>
        <w:t>，</w:t>
      </w:r>
      <w:r>
        <w:rPr>
          <w:rFonts w:hint="eastAsia" w:ascii="宋体" w:hAnsi="宋体"/>
          <w:sz w:val="24"/>
          <w:lang w:val="en-US" w:eastAsia="zh-CN"/>
        </w:rPr>
        <w:t>或</w:t>
      </w:r>
      <w:r>
        <w:rPr>
          <w:rFonts w:hint="eastAsia" w:ascii="宋体" w:hAnsi="宋体"/>
          <w:sz w:val="24"/>
        </w:rPr>
        <w:t>可</w:t>
      </w:r>
      <w:r>
        <w:rPr>
          <w:rFonts w:hint="eastAsia" w:ascii="宋体" w:hAnsi="宋体"/>
          <w:sz w:val="24"/>
          <w:lang w:val="en-US" w:eastAsia="zh-CN"/>
        </w:rPr>
        <w:t>省略</w:t>
      </w:r>
      <w:r>
        <w:rPr>
          <w:rFonts w:hint="eastAsia" w:ascii="宋体" w:hAnsi="宋体"/>
          <w:sz w:val="24"/>
        </w:rPr>
        <w:t>该环节。</w:t>
      </w:r>
    </w:p>
    <w:p w14:paraId="637B40B7">
      <w:pPr>
        <w:pStyle w:val="6"/>
        <w:ind w:firstLine="480"/>
        <w:rPr>
          <w:rFonts w:hint="eastAsia" w:ascii="宋体" w:hAnsi="宋体" w:cs="宋体"/>
          <w:sz w:val="24"/>
          <w:lang w:val="en-US" w:eastAsia="zh-CN"/>
        </w:rPr>
      </w:pPr>
      <w:r>
        <w:rPr>
          <w:rFonts w:hint="eastAsia" w:ascii="宋体" w:hAnsi="宋体" w:cs="宋体"/>
          <w:sz w:val="24"/>
          <w:lang w:val="en-US" w:eastAsia="zh-CN"/>
        </w:rPr>
        <w:t>3.3</w:t>
      </w:r>
      <w:r>
        <w:rPr>
          <w:rFonts w:hint="eastAsia" w:ascii="宋体" w:hAnsi="宋体" w:cs="宋体"/>
          <w:b/>
          <w:bCs/>
          <w:sz w:val="24"/>
          <w:lang w:val="en-US" w:eastAsia="zh-CN"/>
        </w:rPr>
        <w:t>评标</w:t>
      </w:r>
    </w:p>
    <w:p w14:paraId="7E4A54B7">
      <w:pPr>
        <w:ind w:firstLine="480" w:firstLineChars="200"/>
        <w:rPr>
          <w:rFonts w:ascii="宋体" w:hAnsi="宋体"/>
          <w:sz w:val="24"/>
        </w:rPr>
      </w:pPr>
      <w:r>
        <w:rPr>
          <w:rFonts w:hint="eastAsia" w:ascii="宋体" w:hAnsi="宋体"/>
          <w:sz w:val="24"/>
        </w:rPr>
        <w:t>由我校招标办负责组建</w:t>
      </w:r>
      <w:r>
        <w:rPr>
          <w:rFonts w:hint="eastAsia" w:ascii="宋体" w:hAnsi="宋体"/>
          <w:sz w:val="24"/>
          <w:lang w:val="en-US" w:eastAsia="zh-CN"/>
        </w:rPr>
        <w:t>磋商</w:t>
      </w:r>
      <w:r>
        <w:rPr>
          <w:rFonts w:hint="eastAsia" w:ascii="宋体" w:hAnsi="宋体"/>
          <w:sz w:val="24"/>
        </w:rPr>
        <w:t>小组，采用综合评分法</w:t>
      </w:r>
      <w:r>
        <w:rPr>
          <w:rFonts w:hint="eastAsia" w:ascii="宋体" w:hAnsi="宋体"/>
          <w:sz w:val="24"/>
          <w:lang w:val="en-US" w:eastAsia="zh-CN"/>
        </w:rPr>
        <w:t>评审</w:t>
      </w:r>
      <w:r>
        <w:rPr>
          <w:rFonts w:hint="eastAsia" w:ascii="宋体" w:hAnsi="宋体"/>
          <w:sz w:val="24"/>
        </w:rPr>
        <w:t>。</w:t>
      </w:r>
    </w:p>
    <w:p w14:paraId="7D6BBD7B">
      <w:pPr>
        <w:ind w:firstLine="480" w:firstLineChars="200"/>
        <w:rPr>
          <w:rFonts w:ascii="宋体" w:hAnsi="宋体"/>
          <w:sz w:val="24"/>
        </w:rPr>
      </w:pPr>
      <w:r>
        <w:rPr>
          <w:rFonts w:hint="eastAsia" w:ascii="宋体" w:hAnsi="宋体"/>
          <w:sz w:val="24"/>
          <w:lang w:val="en-US" w:eastAsia="zh-CN"/>
        </w:rPr>
        <w:t>开启后</w:t>
      </w:r>
      <w:r>
        <w:rPr>
          <w:rFonts w:hint="eastAsia" w:ascii="宋体" w:hAnsi="宋体"/>
          <w:sz w:val="24"/>
        </w:rPr>
        <w:t>，直至向成交供应商授予合同时止，凡是与</w:t>
      </w:r>
      <w:r>
        <w:rPr>
          <w:rFonts w:hint="eastAsia" w:ascii="宋体" w:hAnsi="宋体"/>
          <w:sz w:val="24"/>
          <w:lang w:val="en-US" w:eastAsia="zh-CN"/>
        </w:rPr>
        <w:t>响应内容</w:t>
      </w:r>
      <w:r>
        <w:rPr>
          <w:rFonts w:hint="eastAsia" w:ascii="宋体" w:hAnsi="宋体"/>
          <w:sz w:val="24"/>
        </w:rPr>
        <w:t>、</w:t>
      </w:r>
      <w:r>
        <w:rPr>
          <w:rFonts w:hint="eastAsia" w:ascii="宋体" w:hAnsi="宋体"/>
          <w:sz w:val="24"/>
          <w:lang w:val="en-US" w:eastAsia="zh-CN"/>
        </w:rPr>
        <w:t>审查</w:t>
      </w:r>
      <w:r>
        <w:rPr>
          <w:rFonts w:hint="eastAsia" w:ascii="宋体" w:hAnsi="宋体"/>
          <w:sz w:val="24"/>
        </w:rPr>
        <w:t>、澄清、评价、</w:t>
      </w:r>
      <w:r>
        <w:rPr>
          <w:rFonts w:hint="eastAsia" w:ascii="宋体" w:hAnsi="宋体"/>
          <w:sz w:val="24"/>
          <w:lang w:val="en-US" w:eastAsia="zh-CN"/>
        </w:rPr>
        <w:t>授标</w:t>
      </w:r>
      <w:r>
        <w:rPr>
          <w:rFonts w:hint="eastAsia" w:ascii="宋体" w:hAnsi="宋体"/>
          <w:sz w:val="24"/>
        </w:rPr>
        <w:t>建议等有关的内容，均不得向供应商</w:t>
      </w:r>
      <w:r>
        <w:rPr>
          <w:rFonts w:hint="eastAsia" w:ascii="宋体" w:hAnsi="宋体"/>
          <w:sz w:val="24"/>
          <w:lang w:val="en-US" w:eastAsia="zh-CN"/>
        </w:rPr>
        <w:t>或跟评审无关的</w:t>
      </w:r>
      <w:r>
        <w:rPr>
          <w:rFonts w:hint="eastAsia" w:ascii="宋体" w:hAnsi="宋体"/>
          <w:sz w:val="24"/>
        </w:rPr>
        <w:t>其他人员透露。在</w:t>
      </w:r>
      <w:r>
        <w:rPr>
          <w:rFonts w:hint="eastAsia" w:ascii="宋体" w:hAnsi="宋体"/>
          <w:sz w:val="24"/>
          <w:lang w:val="en-US" w:eastAsia="zh-CN"/>
        </w:rPr>
        <w:t>评审</w:t>
      </w:r>
      <w:r>
        <w:rPr>
          <w:rFonts w:hint="eastAsia" w:ascii="宋体" w:hAnsi="宋体"/>
          <w:sz w:val="24"/>
        </w:rPr>
        <w:t>过程中，如供应商试图在</w:t>
      </w:r>
      <w:r>
        <w:rPr>
          <w:rFonts w:hint="eastAsia" w:ascii="宋体" w:hAnsi="宋体"/>
          <w:sz w:val="24"/>
          <w:lang w:val="en-US" w:eastAsia="zh-CN"/>
        </w:rPr>
        <w:t>响应文件</w:t>
      </w:r>
      <w:r>
        <w:rPr>
          <w:rFonts w:hint="eastAsia" w:ascii="宋体" w:hAnsi="宋体"/>
          <w:sz w:val="24"/>
        </w:rPr>
        <w:t>审查、澄清及授予合同等方面向采购人</w:t>
      </w:r>
      <w:r>
        <w:rPr>
          <w:rFonts w:hint="eastAsia" w:ascii="宋体" w:hAnsi="宋体"/>
          <w:sz w:val="24"/>
          <w:lang w:val="en-US" w:eastAsia="zh-CN"/>
        </w:rPr>
        <w:t>或</w:t>
      </w:r>
      <w:r>
        <w:rPr>
          <w:rFonts w:hint="eastAsia" w:ascii="宋体" w:hAnsi="宋体"/>
          <w:sz w:val="24"/>
        </w:rPr>
        <w:t>参与</w:t>
      </w:r>
      <w:r>
        <w:rPr>
          <w:rFonts w:hint="eastAsia" w:ascii="宋体" w:hAnsi="宋体"/>
          <w:sz w:val="24"/>
          <w:lang w:val="en-US" w:eastAsia="zh-CN"/>
        </w:rPr>
        <w:t>磋商小组</w:t>
      </w:r>
      <w:r>
        <w:rPr>
          <w:rFonts w:hint="eastAsia" w:ascii="宋体" w:hAnsi="宋体"/>
          <w:sz w:val="24"/>
        </w:rPr>
        <w:t>施加任何影响，都将</w:t>
      </w:r>
      <w:r>
        <w:rPr>
          <w:rFonts w:hint="eastAsia" w:ascii="宋体" w:hAnsi="宋体"/>
          <w:sz w:val="24"/>
          <w:lang w:val="en-US" w:eastAsia="zh-CN"/>
        </w:rPr>
        <w:t>被取消其继续参加此次采购活动的资格</w:t>
      </w:r>
      <w:r>
        <w:rPr>
          <w:rFonts w:hint="eastAsia" w:ascii="宋体" w:hAnsi="宋体"/>
          <w:sz w:val="24"/>
        </w:rPr>
        <w:t>。</w:t>
      </w:r>
    </w:p>
    <w:p w14:paraId="5B33340B">
      <w:pPr>
        <w:pStyle w:val="6"/>
        <w:ind w:firstLine="480"/>
        <w:rPr>
          <w:rFonts w:hint="eastAsia" w:ascii="宋体" w:hAnsi="宋体" w:cs="宋体"/>
          <w:sz w:val="24"/>
          <w:lang w:val="en-US" w:eastAsia="zh-CN"/>
        </w:rPr>
      </w:pPr>
      <w:r>
        <w:rPr>
          <w:rFonts w:hint="eastAsia" w:ascii="宋体" w:hAnsi="宋体"/>
          <w:sz w:val="24"/>
        </w:rPr>
        <w:t>为有助于</w:t>
      </w:r>
      <w:r>
        <w:rPr>
          <w:rFonts w:hint="eastAsia" w:ascii="宋体" w:hAnsi="宋体"/>
          <w:sz w:val="24"/>
          <w:lang w:val="en-US" w:eastAsia="zh-CN"/>
        </w:rPr>
        <w:t>供应商资格审查和响应文件的评审</w:t>
      </w:r>
      <w:r>
        <w:rPr>
          <w:rFonts w:hint="eastAsia" w:ascii="宋体" w:hAnsi="宋体"/>
          <w:sz w:val="24"/>
        </w:rPr>
        <w:t>，</w:t>
      </w:r>
      <w:r>
        <w:rPr>
          <w:rFonts w:hint="eastAsia" w:ascii="宋体" w:hAnsi="宋体"/>
          <w:sz w:val="24"/>
          <w:lang w:val="en-US" w:eastAsia="zh-CN"/>
        </w:rPr>
        <w:t>磋商</w:t>
      </w:r>
      <w:r>
        <w:rPr>
          <w:rFonts w:hint="eastAsia" w:ascii="宋体" w:hAnsi="宋体"/>
          <w:sz w:val="24"/>
        </w:rPr>
        <w:t>小组有权要求供应商对响应文件中含义不明确的内容作必要的澄清或说明，有关澄清或说明的内容应以书面形式提交。</w:t>
      </w:r>
    </w:p>
    <w:p w14:paraId="21288712">
      <w:pPr>
        <w:pStyle w:val="43"/>
        <w:rPr>
          <w:b/>
          <w:bCs/>
        </w:rPr>
      </w:pPr>
      <w:r>
        <w:rPr>
          <w:rFonts w:hint="eastAsia"/>
          <w:b/>
          <w:bCs/>
        </w:rPr>
        <w:t>五、授予合同</w:t>
      </w:r>
    </w:p>
    <w:p w14:paraId="0BEA663D">
      <w:pPr>
        <w:spacing w:line="340" w:lineRule="exact"/>
        <w:ind w:firstLine="482"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b/>
          <w:color w:val="000000" w:themeColor="text1"/>
          <w:sz w:val="24"/>
        </w:rPr>
        <w:t>1.授予</w:t>
      </w:r>
      <w:r>
        <w:rPr>
          <w:rFonts w:hint="eastAsia" w:cs="华文楷体" w:asciiTheme="minorEastAsia" w:hAnsiTheme="minorEastAsia" w:eastAsiaTheme="minorEastAsia"/>
          <w:b/>
          <w:color w:val="000000" w:themeColor="text1"/>
          <w:sz w:val="24"/>
          <w:lang w:val="en-US" w:eastAsia="zh-CN"/>
        </w:rPr>
        <w:t>合同的</w:t>
      </w:r>
      <w:r>
        <w:rPr>
          <w:rFonts w:hint="eastAsia" w:cs="华文楷体" w:asciiTheme="minorEastAsia" w:hAnsiTheme="minorEastAsia" w:eastAsiaTheme="minorEastAsia"/>
          <w:b/>
          <w:color w:val="000000" w:themeColor="text1"/>
          <w:sz w:val="24"/>
        </w:rPr>
        <w:t>顺序</w:t>
      </w:r>
    </w:p>
    <w:p w14:paraId="2CBEF4E6">
      <w:pPr>
        <w:spacing w:line="340" w:lineRule="exact"/>
        <w:ind w:firstLine="480" w:firstLineChars="200"/>
        <w:rPr>
          <w:rFonts w:ascii="宋体" w:hAnsi="宋体" w:cs="华文楷体"/>
          <w:sz w:val="24"/>
        </w:rPr>
      </w:pPr>
      <w:r>
        <w:rPr>
          <w:rFonts w:hint="eastAsia" w:ascii="宋体" w:hAnsi="宋体" w:cs="华文楷体"/>
          <w:sz w:val="24"/>
          <w:lang w:val="en-US" w:eastAsia="zh-CN"/>
        </w:rPr>
        <w:t>磋商</w:t>
      </w:r>
      <w:r>
        <w:rPr>
          <w:rFonts w:hint="eastAsia" w:ascii="宋体" w:hAnsi="宋体" w:cs="华文楷体"/>
          <w:sz w:val="24"/>
        </w:rPr>
        <w:t>小组将根据最终</w:t>
      </w:r>
      <w:r>
        <w:rPr>
          <w:rFonts w:hint="eastAsia" w:ascii="宋体" w:hAnsi="宋体" w:cs="华文楷体"/>
          <w:sz w:val="24"/>
          <w:lang w:val="en-US" w:eastAsia="zh-CN"/>
        </w:rPr>
        <w:t>评审</w:t>
      </w:r>
      <w:r>
        <w:rPr>
          <w:rFonts w:hint="eastAsia" w:ascii="宋体" w:hAnsi="宋体" w:cs="华文楷体"/>
          <w:sz w:val="24"/>
        </w:rPr>
        <w:t>的结果</w:t>
      </w:r>
      <w:r>
        <w:rPr>
          <w:rFonts w:hint="eastAsia" w:ascii="宋体" w:hAnsi="宋体" w:cs="华文楷体"/>
          <w:sz w:val="24"/>
          <w:lang w:val="en-US" w:eastAsia="zh-CN"/>
        </w:rPr>
        <w:t>确定成交供应商</w:t>
      </w:r>
      <w:r>
        <w:rPr>
          <w:rFonts w:hint="eastAsia" w:ascii="宋体" w:hAnsi="宋体" w:cs="华文楷体"/>
          <w:sz w:val="24"/>
        </w:rPr>
        <w:t>。</w:t>
      </w:r>
      <w:r>
        <w:rPr>
          <w:rFonts w:hint="eastAsia" w:ascii="宋体" w:hAnsi="宋体" w:cs="华文楷体"/>
          <w:sz w:val="24"/>
          <w:lang w:val="en-US" w:eastAsia="zh-CN"/>
        </w:rPr>
        <w:t>若成交供应商不能履行合同</w:t>
      </w:r>
      <w:r>
        <w:rPr>
          <w:rFonts w:hint="eastAsia" w:ascii="宋体" w:hAnsi="宋体" w:cs="华文楷体"/>
          <w:sz w:val="24"/>
        </w:rPr>
        <w:t>的，采购人</w:t>
      </w:r>
      <w:r>
        <w:rPr>
          <w:rFonts w:hint="eastAsia" w:ascii="宋体" w:hAnsi="宋体" w:cs="华文楷体"/>
          <w:sz w:val="24"/>
          <w:lang w:val="en-US" w:eastAsia="zh-CN"/>
        </w:rPr>
        <w:t>有权与评审结果中</w:t>
      </w:r>
      <w:r>
        <w:rPr>
          <w:rFonts w:hint="eastAsia" w:ascii="宋体" w:hAnsi="宋体" w:cs="华文楷体"/>
          <w:sz w:val="24"/>
        </w:rPr>
        <w:t>排名第二的供应商</w:t>
      </w:r>
      <w:r>
        <w:rPr>
          <w:rFonts w:hint="eastAsia" w:ascii="宋体" w:hAnsi="宋体" w:cs="华文楷体"/>
          <w:sz w:val="24"/>
          <w:lang w:val="en-US" w:eastAsia="zh-CN"/>
        </w:rPr>
        <w:t>签订合同</w:t>
      </w:r>
      <w:r>
        <w:rPr>
          <w:rFonts w:hint="eastAsia" w:ascii="宋体" w:hAnsi="宋体" w:cs="华文楷体"/>
          <w:sz w:val="24"/>
        </w:rPr>
        <w:t>，</w:t>
      </w:r>
      <w:r>
        <w:rPr>
          <w:rFonts w:hint="eastAsia" w:ascii="宋体" w:hAnsi="宋体" w:cs="华文楷体"/>
          <w:sz w:val="24"/>
          <w:lang w:val="en-US" w:eastAsia="zh-CN"/>
        </w:rPr>
        <w:t>或</w:t>
      </w:r>
      <w:r>
        <w:rPr>
          <w:rFonts w:hint="eastAsia" w:ascii="宋体" w:hAnsi="宋体" w:cs="华文楷体"/>
          <w:sz w:val="24"/>
        </w:rPr>
        <w:t>重新组织采购。排名第二的供应商不能签订合同的，该项目另行采购。</w:t>
      </w:r>
    </w:p>
    <w:p w14:paraId="2893BC31">
      <w:pPr>
        <w:pStyle w:val="41"/>
        <w:numPr>
          <w:ilvl w:val="0"/>
          <w:numId w:val="0"/>
        </w:numPr>
        <w:spacing w:line="340" w:lineRule="exact"/>
        <w:ind w:left="420" w:left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2.采购人有取消采购活动的权利</w:t>
      </w:r>
    </w:p>
    <w:p w14:paraId="0AFC374D">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出现下列情况之一时，采购人有权取消采购活动，并将理由通知所有递交响应文件的供应商：</w:t>
      </w:r>
    </w:p>
    <w:p w14:paraId="369D0F5F">
      <w:pPr>
        <w:spacing w:line="340" w:lineRule="exact"/>
        <w:ind w:firstLine="480" w:firstLineChars="200"/>
        <w:rPr>
          <w:rFonts w:hint="eastAsia"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2.1出现影响采购公正的违法违规行为的；</w:t>
      </w:r>
    </w:p>
    <w:p w14:paraId="24C5D1A3">
      <w:pPr>
        <w:spacing w:line="340" w:lineRule="exact"/>
        <w:ind w:firstLine="480" w:firstLineChars="200"/>
        <w:rPr>
          <w:rFonts w:hint="eastAsia" w:cs="华文楷体" w:asciiTheme="minorEastAsia" w:hAnsiTheme="minorEastAsia" w:eastAsiaTheme="minorEastAsia"/>
          <w:color w:val="000000" w:themeColor="text1"/>
          <w:sz w:val="24"/>
        </w:rPr>
      </w:pPr>
      <w:r>
        <w:rPr>
          <w:rFonts w:hint="eastAsia" w:ascii="宋体" w:hAnsi="宋体" w:cs="华文楷体"/>
          <w:sz w:val="24"/>
        </w:rPr>
        <w:t>2.2供应商的</w:t>
      </w:r>
      <w:r>
        <w:rPr>
          <w:rFonts w:hint="eastAsia" w:ascii="宋体" w:hAnsi="宋体" w:cs="华文楷体"/>
          <w:sz w:val="24"/>
          <w:lang w:val="en-US" w:eastAsia="zh-CN"/>
        </w:rPr>
        <w:t>报价均</w:t>
      </w:r>
      <w:r>
        <w:rPr>
          <w:rFonts w:hint="eastAsia" w:ascii="宋体" w:hAnsi="宋体" w:cs="华文楷体"/>
          <w:sz w:val="24"/>
        </w:rPr>
        <w:t>超过了采购预算，采购人不能支付的；</w:t>
      </w:r>
    </w:p>
    <w:p w14:paraId="2CD2CB7C">
      <w:pPr>
        <w:spacing w:line="340" w:lineRule="exact"/>
        <w:ind w:firstLine="480" w:firstLineChars="200"/>
        <w:rPr>
          <w:rFonts w:cs="华文楷体" w:asciiTheme="minorEastAsia" w:hAnsiTheme="minorEastAsia" w:eastAsiaTheme="minorEastAsia"/>
          <w:color w:val="000000" w:themeColor="text1"/>
          <w:sz w:val="24"/>
          <w:shd w:val="clear" w:color="auto" w:fill="FFFFFF" w:themeFill="background1"/>
        </w:rPr>
      </w:pPr>
      <w:r>
        <w:rPr>
          <w:rFonts w:hint="eastAsia" w:cs="华文楷体" w:asciiTheme="minorEastAsia" w:hAnsiTheme="minorEastAsia" w:eastAsiaTheme="minorEastAsia"/>
          <w:color w:val="000000" w:themeColor="text1"/>
          <w:sz w:val="24"/>
          <w:shd w:val="clear" w:color="auto" w:fill="FFFFFF" w:themeFill="background1"/>
        </w:rPr>
        <w:t>2.</w:t>
      </w:r>
      <w:r>
        <w:rPr>
          <w:rFonts w:hint="eastAsia" w:cs="华文楷体" w:asciiTheme="minorEastAsia" w:hAnsiTheme="minorEastAsia" w:eastAsiaTheme="minorEastAsia"/>
          <w:color w:val="000000" w:themeColor="text1"/>
          <w:sz w:val="24"/>
          <w:shd w:val="clear" w:color="auto" w:fill="FFFFFF" w:themeFill="background1"/>
          <w:lang w:val="en-US" w:eastAsia="zh-CN"/>
        </w:rPr>
        <w:t>3</w:t>
      </w:r>
      <w:r>
        <w:rPr>
          <w:rFonts w:hint="eastAsia" w:cs="华文楷体" w:asciiTheme="minorEastAsia" w:hAnsiTheme="minorEastAsia" w:eastAsiaTheme="minorEastAsia"/>
          <w:color w:val="000000" w:themeColor="text1"/>
          <w:sz w:val="24"/>
          <w:shd w:val="clear" w:color="auto" w:fill="FFFFFF" w:themeFill="background1"/>
        </w:rPr>
        <w:t>因重大变故，采购任务取消的。</w:t>
      </w:r>
    </w:p>
    <w:p w14:paraId="641EF4AA">
      <w:pPr>
        <w:pStyle w:val="41"/>
        <w:numPr>
          <w:ilvl w:val="0"/>
          <w:numId w:val="0"/>
        </w:numPr>
        <w:spacing w:line="340" w:lineRule="exact"/>
        <w:ind w:left="420" w:left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3.成交通知</w:t>
      </w:r>
    </w:p>
    <w:p w14:paraId="18AFAACB">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3.1在结果公示三日之后，成交供应商须按规定领取成交通知书。</w:t>
      </w:r>
    </w:p>
    <w:p w14:paraId="5728F692">
      <w:pPr>
        <w:spacing w:line="340" w:lineRule="exact"/>
        <w:ind w:firstLine="480" w:firstLineChars="200"/>
        <w:rPr>
          <w:rFonts w:hint="eastAsia" w:ascii="宋体" w:hAnsi="宋体" w:cs="华文楷体"/>
          <w:sz w:val="24"/>
        </w:rPr>
      </w:pPr>
      <w:r>
        <w:rPr>
          <w:rFonts w:hint="eastAsia" w:cs="华文楷体" w:asciiTheme="minorEastAsia" w:hAnsiTheme="minorEastAsia" w:eastAsiaTheme="minorEastAsia"/>
          <w:color w:val="000000" w:themeColor="text1"/>
          <w:sz w:val="24"/>
        </w:rPr>
        <w:t>3.2</w:t>
      </w:r>
      <w:r>
        <w:rPr>
          <w:rFonts w:hint="eastAsia" w:ascii="宋体" w:hAnsi="宋体" w:cs="华文楷体"/>
          <w:sz w:val="24"/>
        </w:rPr>
        <w:t>采购人同时在江苏师范大学招投标网（http://ztbb.jsnu.edu.cn）发布成交信息。采购人对未成交的供应商不做未成交原因的解释。</w:t>
      </w:r>
    </w:p>
    <w:p w14:paraId="25DF55E8">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3.3成交通知书是合同的组成部分。</w:t>
      </w:r>
    </w:p>
    <w:p w14:paraId="549F4B82">
      <w:pPr>
        <w:pStyle w:val="41"/>
        <w:numPr>
          <w:ilvl w:val="0"/>
          <w:numId w:val="0"/>
        </w:numPr>
        <w:spacing w:line="340" w:lineRule="exact"/>
        <w:ind w:left="420" w:leftChars="200"/>
        <w:rPr>
          <w:rFonts w:cs="华文楷体" w:asciiTheme="minorEastAsia" w:hAnsiTheme="minorEastAsia" w:eastAsiaTheme="minorEastAsia"/>
          <w:b/>
          <w:color w:val="000000" w:themeColor="text1"/>
          <w:sz w:val="24"/>
          <w:szCs w:val="24"/>
        </w:rPr>
      </w:pPr>
      <w:r>
        <w:rPr>
          <w:rFonts w:hint="eastAsia" w:cs="华文楷体" w:asciiTheme="minorEastAsia" w:hAnsiTheme="minorEastAsia" w:eastAsiaTheme="minorEastAsia"/>
          <w:b/>
          <w:color w:val="000000" w:themeColor="text1"/>
          <w:sz w:val="24"/>
          <w:szCs w:val="24"/>
        </w:rPr>
        <w:t>4.签订合同</w:t>
      </w:r>
    </w:p>
    <w:p w14:paraId="4EABC269">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4.1成交供应商须按采购人规定的时间、地点与采购人签订合同。</w:t>
      </w:r>
      <w:r>
        <w:rPr>
          <w:rFonts w:hint="eastAsia" w:cs="华文楷体" w:asciiTheme="minorEastAsia" w:hAnsiTheme="minorEastAsia" w:eastAsiaTheme="minorEastAsia"/>
          <w:color w:val="000000" w:themeColor="text1"/>
          <w:sz w:val="24"/>
          <w:lang w:val="en-US" w:eastAsia="zh-CN"/>
        </w:rPr>
        <w:t>成交供应商不得</w:t>
      </w:r>
      <w:r>
        <w:rPr>
          <w:rFonts w:hint="eastAsia" w:cs="华文楷体" w:asciiTheme="minorEastAsia" w:hAnsiTheme="minorEastAsia" w:eastAsiaTheme="minorEastAsia"/>
          <w:color w:val="000000" w:themeColor="text1"/>
          <w:sz w:val="24"/>
        </w:rPr>
        <w:t>与采购人签订背离采购需求的其它协议或声明，否则采购人有权取消其成交资格。</w:t>
      </w:r>
    </w:p>
    <w:p w14:paraId="6786E25D">
      <w:pPr>
        <w:spacing w:line="340" w:lineRule="exact"/>
        <w:ind w:firstLine="480" w:firstLineChars="200"/>
        <w:rPr>
          <w:rFonts w:ascii="宋体" w:hAnsi="宋体" w:cs="华文楷体"/>
          <w:sz w:val="24"/>
        </w:rPr>
      </w:pPr>
      <w:r>
        <w:rPr>
          <w:rFonts w:hint="eastAsia" w:cs="华文楷体" w:asciiTheme="minorEastAsia" w:hAnsiTheme="minorEastAsia" w:eastAsiaTheme="minorEastAsia"/>
          <w:color w:val="000000" w:themeColor="text1"/>
          <w:sz w:val="24"/>
        </w:rPr>
        <w:t xml:space="preserve">4.2 </w:t>
      </w:r>
      <w:r>
        <w:rPr>
          <w:rFonts w:hint="eastAsia" w:ascii="宋体" w:hAnsi="宋体" w:cs="华文楷体"/>
          <w:sz w:val="24"/>
        </w:rPr>
        <w:t>成交</w:t>
      </w:r>
      <w:r>
        <w:rPr>
          <w:rFonts w:hint="eastAsia" w:ascii="宋体" w:hAnsi="宋体" w:cs="华文楷体"/>
          <w:sz w:val="24"/>
          <w:lang w:val="en-US" w:eastAsia="zh-CN"/>
        </w:rPr>
        <w:t>供应商</w:t>
      </w:r>
      <w:r>
        <w:rPr>
          <w:rFonts w:hint="eastAsia" w:ascii="宋体" w:hAnsi="宋体" w:cs="华文楷体"/>
          <w:sz w:val="24"/>
        </w:rPr>
        <w:t>应按照采购文件、响应文件及评审过程中有关的澄清说明或补正文件的内容与采购人签订合同。</w:t>
      </w:r>
    </w:p>
    <w:p w14:paraId="01FF6AE7">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4.3</w:t>
      </w:r>
      <w:r>
        <w:rPr>
          <w:rFonts w:hint="eastAsia" w:cs="华文楷体" w:asciiTheme="minorEastAsia" w:hAnsiTheme="minorEastAsia" w:eastAsiaTheme="minorEastAsia"/>
          <w:color w:val="000000" w:themeColor="text1"/>
          <w:sz w:val="24"/>
          <w:lang w:val="en-US" w:eastAsia="zh-CN"/>
        </w:rPr>
        <w:t>一旦成交签订合同后，</w:t>
      </w:r>
      <w:r>
        <w:rPr>
          <w:rFonts w:hint="eastAsia" w:cs="华文楷体" w:asciiTheme="minorEastAsia" w:hAnsiTheme="minorEastAsia" w:eastAsiaTheme="minorEastAsia"/>
          <w:color w:val="000000" w:themeColor="text1"/>
          <w:sz w:val="24"/>
        </w:rPr>
        <w:t>成交供应商不得转包</w:t>
      </w:r>
      <w:r>
        <w:rPr>
          <w:rFonts w:hint="eastAsia" w:cs="华文楷体" w:asciiTheme="minorEastAsia" w:hAnsiTheme="minorEastAsia" w:eastAsiaTheme="minorEastAsia"/>
          <w:color w:val="000000" w:themeColor="text1"/>
          <w:sz w:val="24"/>
          <w:lang w:val="en-US" w:eastAsia="zh-CN"/>
        </w:rPr>
        <w:t>违法分包</w:t>
      </w:r>
      <w:r>
        <w:rPr>
          <w:rFonts w:hint="eastAsia" w:cs="华文楷体" w:asciiTheme="minorEastAsia" w:hAnsiTheme="minorEastAsia" w:eastAsiaTheme="minorEastAsia"/>
          <w:color w:val="000000" w:themeColor="text1"/>
          <w:sz w:val="24"/>
        </w:rPr>
        <w:t>，否则将被取消成交资格。</w:t>
      </w:r>
    </w:p>
    <w:p w14:paraId="0BAE062F">
      <w:pPr>
        <w:spacing w:line="340" w:lineRule="exact"/>
        <w:ind w:firstLine="480" w:firstLineChars="200"/>
        <w:rPr>
          <w:rFonts w:cs="华文楷体" w:asciiTheme="minorEastAsia" w:hAnsiTheme="minorEastAsia" w:eastAsiaTheme="minorEastAsia"/>
          <w:color w:val="000000" w:themeColor="text1"/>
          <w:sz w:val="24"/>
        </w:rPr>
      </w:pPr>
      <w:r>
        <w:rPr>
          <w:rFonts w:hint="eastAsia" w:cs="华文楷体" w:asciiTheme="minorEastAsia" w:hAnsiTheme="minorEastAsia" w:eastAsiaTheme="minorEastAsia"/>
          <w:color w:val="000000" w:themeColor="text1"/>
          <w:sz w:val="24"/>
        </w:rPr>
        <w:t>4.4成交供应商不履行合同，给采购人造成损失的，由成交供应商承担赔偿责任。</w:t>
      </w:r>
    </w:p>
    <w:p w14:paraId="4E0E7D8F">
      <w:pPr>
        <w:ind w:firstLine="482" w:firstLineChars="200"/>
        <w:rPr>
          <w:rFonts w:ascii="宋体" w:hAnsi="宋体"/>
          <w:b/>
          <w:sz w:val="24"/>
        </w:rPr>
      </w:pPr>
      <w:r>
        <w:rPr>
          <w:rFonts w:hint="eastAsia" w:ascii="宋体" w:hAnsi="宋体"/>
          <w:b/>
          <w:sz w:val="24"/>
        </w:rPr>
        <w:t>4</w:t>
      </w:r>
      <w:r>
        <w:rPr>
          <w:rFonts w:ascii="宋体" w:hAnsi="宋体"/>
          <w:b/>
          <w:sz w:val="24"/>
        </w:rPr>
        <w:t>.5</w:t>
      </w:r>
      <w:r>
        <w:rPr>
          <w:rFonts w:hint="eastAsia" w:ascii="宋体" w:hAnsi="宋体"/>
          <w:b/>
          <w:sz w:val="24"/>
        </w:rPr>
        <w:t>成交后无故拒签合同或不履行合同条款的供应商，将被采购人列入失信名单并报送省财政厅备案，且3年内禁止参与我校任何采购活动。</w:t>
      </w:r>
    </w:p>
    <w:p w14:paraId="1FF6F170">
      <w:pPr>
        <w:ind w:firstLine="482" w:firstLineChars="200"/>
        <w:rPr>
          <w:rFonts w:ascii="宋体" w:hAnsi="宋体"/>
          <w:b/>
          <w:sz w:val="24"/>
          <w:shd w:val="clear" w:color="auto" w:fill="FFFFFF" w:themeFill="background1"/>
        </w:rPr>
      </w:pPr>
      <w:r>
        <w:rPr>
          <w:rFonts w:hint="eastAsia" w:ascii="宋体" w:hAnsi="宋体"/>
          <w:b/>
          <w:sz w:val="24"/>
          <w:shd w:val="clear" w:color="auto" w:fill="FFFFFF" w:themeFill="background1"/>
        </w:rPr>
        <w:t>4.6 合同主要条款详见“磋商公告附件”。</w:t>
      </w:r>
    </w:p>
    <w:p w14:paraId="46E8AACB">
      <w:pPr>
        <w:pStyle w:val="43"/>
        <w:rPr>
          <w:b/>
          <w:bCs/>
        </w:rPr>
      </w:pPr>
      <w:r>
        <w:rPr>
          <w:rFonts w:hint="eastAsia"/>
          <w:b/>
          <w:bCs/>
        </w:rPr>
        <w:t>六、</w:t>
      </w:r>
      <w:r>
        <w:rPr>
          <w:rFonts w:hint="eastAsia"/>
          <w:b/>
          <w:bCs/>
          <w:lang w:val="en-US" w:eastAsia="zh-CN"/>
        </w:rPr>
        <w:t>询问和</w:t>
      </w:r>
      <w:r>
        <w:rPr>
          <w:rFonts w:hint="eastAsia"/>
          <w:b/>
          <w:bCs/>
        </w:rPr>
        <w:t>质疑</w:t>
      </w:r>
    </w:p>
    <w:p w14:paraId="539B1957">
      <w:pPr>
        <w:spacing w:line="340" w:lineRule="exact"/>
        <w:ind w:firstLine="480" w:firstLineChars="200"/>
        <w:rPr>
          <w:rFonts w:hint="eastAsia" w:ascii="宋体" w:hAnsi="宋体"/>
          <w:bCs/>
          <w:sz w:val="24"/>
          <w:lang w:val="en-US" w:eastAsia="zh-CN"/>
        </w:rPr>
      </w:pPr>
      <w:r>
        <w:rPr>
          <w:rFonts w:hint="eastAsia" w:ascii="宋体" w:hAnsi="宋体"/>
          <w:bCs/>
          <w:sz w:val="24"/>
          <w:lang w:val="en-US" w:eastAsia="zh-CN"/>
        </w:rPr>
        <w:t>1.供应商可对采购程序或合同提出质疑</w:t>
      </w:r>
    </w:p>
    <w:p w14:paraId="201AFC4F">
      <w:pPr>
        <w:spacing w:line="340" w:lineRule="exact"/>
        <w:ind w:firstLine="480" w:firstLineChars="200"/>
        <w:rPr>
          <w:rFonts w:hint="eastAsia" w:ascii="宋体" w:hAnsi="宋体" w:eastAsia="宋体"/>
          <w:bCs/>
          <w:sz w:val="24"/>
          <w:lang w:eastAsia="zh-CN"/>
        </w:rPr>
      </w:pPr>
      <w:r>
        <w:rPr>
          <w:rFonts w:hint="eastAsia" w:ascii="宋体" w:hAnsi="宋体"/>
          <w:bCs/>
          <w:sz w:val="24"/>
          <w:lang w:val="en-US" w:eastAsia="zh-CN"/>
        </w:rPr>
        <w:t>1.1</w:t>
      </w:r>
      <w:r>
        <w:rPr>
          <w:rFonts w:hint="eastAsia" w:ascii="宋体" w:hAnsi="宋体"/>
          <w:bCs/>
          <w:sz w:val="24"/>
        </w:rPr>
        <w:t>供应商对</w:t>
      </w:r>
      <w:r>
        <w:rPr>
          <w:rFonts w:hint="eastAsia" w:ascii="宋体" w:hAnsi="宋体"/>
          <w:bCs/>
          <w:sz w:val="24"/>
          <w:lang w:val="en-US" w:eastAsia="zh-CN"/>
        </w:rPr>
        <w:t>此次</w:t>
      </w:r>
      <w:r>
        <w:rPr>
          <w:rFonts w:hint="eastAsia" w:ascii="宋体" w:hAnsi="宋体"/>
          <w:bCs/>
          <w:sz w:val="24"/>
        </w:rPr>
        <w:t>采购活动有疑问的，</w:t>
      </w:r>
      <w:r>
        <w:rPr>
          <w:rFonts w:hint="eastAsia" w:ascii="宋体" w:hAnsi="宋体"/>
          <w:bCs/>
          <w:sz w:val="24"/>
          <w:lang w:val="en-US" w:eastAsia="zh-CN"/>
        </w:rPr>
        <w:t>可</w:t>
      </w:r>
      <w:r>
        <w:rPr>
          <w:rFonts w:hint="eastAsia" w:ascii="宋体" w:hAnsi="宋体"/>
          <w:bCs/>
          <w:sz w:val="24"/>
        </w:rPr>
        <w:t>向采购人提出询问</w:t>
      </w:r>
      <w:r>
        <w:rPr>
          <w:rFonts w:hint="eastAsia" w:ascii="宋体" w:hAnsi="宋体"/>
          <w:bCs/>
          <w:sz w:val="24"/>
          <w:lang w:eastAsia="zh-CN"/>
        </w:rPr>
        <w:t>。</w:t>
      </w:r>
    </w:p>
    <w:p w14:paraId="21105FB0">
      <w:pPr>
        <w:spacing w:line="340" w:lineRule="exact"/>
        <w:ind w:firstLine="480" w:firstLineChars="200"/>
        <w:rPr>
          <w:rFonts w:ascii="宋体" w:hAnsi="宋体" w:cs="华文楷体"/>
          <w:sz w:val="24"/>
        </w:rPr>
      </w:pPr>
      <w:r>
        <w:rPr>
          <w:rFonts w:hint="eastAsia" w:ascii="宋体" w:hAnsi="宋体"/>
          <w:bCs/>
          <w:sz w:val="24"/>
          <w:lang w:val="en-US" w:eastAsia="zh-CN"/>
        </w:rPr>
        <w:t>1.2如</w:t>
      </w:r>
      <w:r>
        <w:rPr>
          <w:rFonts w:hint="eastAsia" w:ascii="宋体" w:hAnsi="宋体"/>
          <w:bCs/>
          <w:sz w:val="24"/>
        </w:rPr>
        <w:t>供应商认为</w:t>
      </w:r>
      <w:r>
        <w:rPr>
          <w:rFonts w:hint="eastAsia" w:ascii="宋体" w:hAnsi="宋体"/>
          <w:bCs/>
          <w:sz w:val="24"/>
          <w:lang w:val="en-US" w:eastAsia="zh-CN"/>
        </w:rPr>
        <w:t>其响应未获公平对待及评审或采购活动任一环节</w:t>
      </w:r>
      <w:r>
        <w:rPr>
          <w:rFonts w:hint="eastAsia" w:ascii="宋体" w:hAnsi="宋体"/>
          <w:bCs/>
          <w:sz w:val="24"/>
        </w:rPr>
        <w:t>使</w:t>
      </w:r>
      <w:r>
        <w:rPr>
          <w:rFonts w:hint="eastAsia" w:ascii="宋体" w:hAnsi="宋体"/>
          <w:bCs/>
          <w:sz w:val="24"/>
          <w:lang w:val="en-US" w:eastAsia="zh-CN"/>
        </w:rPr>
        <w:t>其</w:t>
      </w:r>
      <w:r>
        <w:rPr>
          <w:rFonts w:hint="eastAsia" w:ascii="宋体" w:hAnsi="宋体"/>
          <w:bCs/>
          <w:sz w:val="24"/>
        </w:rPr>
        <w:t>权益受到</w:t>
      </w:r>
      <w:r>
        <w:rPr>
          <w:rFonts w:hint="eastAsia" w:ascii="宋体" w:hAnsi="宋体"/>
          <w:bCs/>
          <w:sz w:val="24"/>
          <w:lang w:val="en-US" w:eastAsia="zh-CN"/>
        </w:rPr>
        <w:t>侵害</w:t>
      </w:r>
      <w:r>
        <w:rPr>
          <w:rFonts w:hint="eastAsia" w:ascii="宋体" w:hAnsi="宋体"/>
          <w:bCs/>
          <w:sz w:val="24"/>
        </w:rPr>
        <w:t>的，</w:t>
      </w:r>
      <w:r>
        <w:rPr>
          <w:rFonts w:hint="eastAsia" w:ascii="宋体" w:hAnsi="宋体" w:cs="华文楷体"/>
          <w:sz w:val="24"/>
        </w:rPr>
        <w:t>可以在知道或者应知其权益受到损害之日起7个工作日内，以书面形式向采购人进行质疑并要求答复。</w:t>
      </w:r>
    </w:p>
    <w:p w14:paraId="69011ED8">
      <w:pPr>
        <w:spacing w:line="340" w:lineRule="exact"/>
        <w:ind w:firstLine="480" w:firstLineChars="200"/>
        <w:rPr>
          <w:rFonts w:ascii="宋体" w:hAnsi="宋体" w:cs="华文楷体"/>
          <w:sz w:val="24"/>
        </w:rPr>
      </w:pPr>
      <w:r>
        <w:rPr>
          <w:rFonts w:hint="eastAsia" w:ascii="宋体" w:hAnsi="宋体" w:cs="华文楷体"/>
          <w:sz w:val="24"/>
        </w:rPr>
        <w:t>1</w:t>
      </w:r>
      <w:r>
        <w:rPr>
          <w:rFonts w:ascii="宋体" w:hAnsi="宋体" w:cs="华文楷体"/>
          <w:sz w:val="24"/>
        </w:rPr>
        <w:t>.3</w:t>
      </w:r>
      <w:r>
        <w:rPr>
          <w:rFonts w:hint="eastAsia" w:ascii="宋体" w:hAnsi="宋体" w:cs="华文楷体"/>
          <w:sz w:val="24"/>
        </w:rPr>
        <w:t>供应商在法定质疑期内应一次性提出针对同一采购采购程序环节的质疑。</w:t>
      </w:r>
    </w:p>
    <w:p w14:paraId="3AF20FCA">
      <w:pPr>
        <w:spacing w:line="340" w:lineRule="exact"/>
        <w:ind w:firstLine="480" w:firstLineChars="200"/>
        <w:rPr>
          <w:rFonts w:ascii="宋体" w:hAnsi="宋体" w:cs="华文楷体"/>
          <w:sz w:val="24"/>
        </w:rPr>
      </w:pPr>
      <w:r>
        <w:rPr>
          <w:rFonts w:hint="eastAsia" w:ascii="宋体" w:hAnsi="宋体" w:cs="华文楷体"/>
          <w:sz w:val="24"/>
        </w:rPr>
        <w:t>1.</w:t>
      </w:r>
      <w:r>
        <w:rPr>
          <w:rFonts w:ascii="宋体" w:hAnsi="宋体" w:cs="华文楷体"/>
          <w:sz w:val="24"/>
        </w:rPr>
        <w:t>4</w:t>
      </w:r>
      <w:r>
        <w:rPr>
          <w:rFonts w:hint="eastAsia" w:ascii="宋体" w:hAnsi="宋体" w:cs="华文楷体"/>
          <w:sz w:val="24"/>
        </w:rPr>
        <w:t>采购人将在收到书面质疑后7个工作日内审查质疑事项，做出答复或相关处理决定，并以书面形式通知质疑供应商和其他有关供应商，但答复的内容不涉及商业秘密。</w:t>
      </w:r>
    </w:p>
    <w:p w14:paraId="04D461BC">
      <w:pPr>
        <w:spacing w:line="340" w:lineRule="exact"/>
        <w:ind w:firstLine="480" w:firstLineChars="200"/>
        <w:rPr>
          <w:rFonts w:hint="eastAsia" w:ascii="宋体" w:hAnsi="宋体" w:cs="华文楷体"/>
          <w:sz w:val="24"/>
        </w:rPr>
      </w:pPr>
      <w:r>
        <w:rPr>
          <w:rFonts w:hint="eastAsia" w:ascii="宋体" w:hAnsi="宋体" w:cs="华文楷体"/>
          <w:sz w:val="24"/>
        </w:rPr>
        <w:t>1.</w:t>
      </w:r>
      <w:r>
        <w:rPr>
          <w:rFonts w:ascii="宋体" w:hAnsi="宋体" w:cs="华文楷体"/>
          <w:sz w:val="24"/>
        </w:rPr>
        <w:t>5</w:t>
      </w:r>
      <w:r>
        <w:rPr>
          <w:rFonts w:hint="eastAsia" w:ascii="宋体" w:hAnsi="宋体" w:cs="华文楷体"/>
          <w:sz w:val="24"/>
        </w:rPr>
        <w:t>质疑供应商对采购人的答复不满意，或采购人未在规定的时间内做出答复的，可以在答复期满后15个工作日内向江苏师范大学有关监督部门投诉。</w:t>
      </w:r>
    </w:p>
    <w:p w14:paraId="4633F606">
      <w:pPr>
        <w:spacing w:line="340" w:lineRule="exact"/>
        <w:ind w:firstLine="480" w:firstLineChars="200"/>
        <w:rPr>
          <w:rFonts w:hint="eastAsia" w:ascii="宋体" w:hAnsi="宋体" w:cs="华文楷体"/>
          <w:sz w:val="24"/>
        </w:rPr>
      </w:pPr>
    </w:p>
    <w:p w14:paraId="0E2D6BF6">
      <w:pPr>
        <w:pStyle w:val="43"/>
        <w:spacing w:before="0" w:line="340" w:lineRule="exact"/>
        <w:jc w:val="both"/>
        <w:outlineLvl w:val="9"/>
        <w:rPr>
          <w:rFonts w:cs="华文楷体"/>
          <w:b/>
          <w:bCs/>
          <w:color w:val="auto"/>
          <w:sz w:val="24"/>
          <w:szCs w:val="24"/>
        </w:rPr>
      </w:pPr>
      <w:r>
        <w:rPr>
          <w:rFonts w:hint="eastAsia" w:cs="华文楷体"/>
          <w:b/>
          <w:bCs/>
          <w:color w:val="auto"/>
          <w:sz w:val="24"/>
          <w:szCs w:val="24"/>
        </w:rPr>
        <w:t>七、保密和披露</w:t>
      </w:r>
    </w:p>
    <w:p w14:paraId="0449C27E">
      <w:pPr>
        <w:spacing w:line="340" w:lineRule="exact"/>
        <w:ind w:firstLine="480" w:firstLineChars="200"/>
        <w:rPr>
          <w:rFonts w:ascii="宋体" w:hAnsi="宋体" w:cs="华文楷体"/>
          <w:sz w:val="24"/>
        </w:rPr>
      </w:pPr>
      <w:r>
        <w:rPr>
          <w:rFonts w:hint="eastAsia" w:ascii="宋体" w:hAnsi="宋体" w:cs="华文楷体"/>
          <w:sz w:val="24"/>
        </w:rPr>
        <w:t>1.供应商自领取采购文件之日起，须承诺承担本招标项目下的保密义务，不得将因本次招标获得的信息向第三人外传。</w:t>
      </w:r>
    </w:p>
    <w:p w14:paraId="3C4E70B5">
      <w:pPr>
        <w:spacing w:line="340" w:lineRule="exact"/>
        <w:ind w:firstLine="480" w:firstLineChars="200"/>
        <w:rPr>
          <w:rFonts w:ascii="宋体" w:hAnsi="宋体" w:cs="华文楷体"/>
          <w:sz w:val="24"/>
        </w:rPr>
      </w:pPr>
      <w:r>
        <w:rPr>
          <w:rFonts w:ascii="宋体" w:hAnsi="宋体" w:cs="华文楷体"/>
          <w:sz w:val="24"/>
        </w:rPr>
        <w:t>2</w:t>
      </w:r>
      <w:r>
        <w:rPr>
          <w:rFonts w:hint="eastAsia" w:ascii="宋体" w:hAnsi="宋体" w:cs="华文楷体"/>
          <w:sz w:val="24"/>
        </w:rPr>
        <w:t>.采购人有权将供应商提供的所有资料向其他政府部门或有关的非政府机构负责评审响应文件的人员或与评审有关的人员披露。</w:t>
      </w:r>
    </w:p>
    <w:p w14:paraId="69443430">
      <w:pPr>
        <w:spacing w:line="340" w:lineRule="exact"/>
        <w:ind w:firstLine="480" w:firstLineChars="200"/>
        <w:rPr>
          <w:rFonts w:hint="eastAsia" w:ascii="宋体" w:hAnsi="宋体" w:cs="华文楷体"/>
          <w:sz w:val="24"/>
        </w:rPr>
      </w:pPr>
      <w:r>
        <w:rPr>
          <w:rFonts w:ascii="宋体" w:hAnsi="宋体" w:cs="华文楷体"/>
          <w:sz w:val="24"/>
        </w:rPr>
        <w:t>3</w:t>
      </w:r>
      <w:r>
        <w:rPr>
          <w:rFonts w:hint="eastAsia" w:ascii="宋体" w:hAnsi="宋体" w:cs="华文楷体"/>
          <w:sz w:val="24"/>
        </w:rPr>
        <w:t>.采购人有权在认为适当时，或在任何第三人提出要求（书面或其他方式）时，无须事先征求成交人同意而披露关于已订立合同的资料、成交人的名称及地址及合同条款等。</w:t>
      </w:r>
    </w:p>
    <w:p w14:paraId="1CC96995">
      <w:pPr>
        <w:pStyle w:val="43"/>
        <w:rPr>
          <w:b/>
          <w:bCs/>
          <w:highlight w:val="none"/>
        </w:rPr>
      </w:pPr>
      <w:r>
        <w:rPr>
          <w:rFonts w:hint="eastAsia"/>
          <w:b/>
          <w:bCs/>
          <w:highlight w:val="none"/>
          <w:lang w:val="en-US" w:eastAsia="zh-CN"/>
        </w:rPr>
        <w:t>八</w:t>
      </w:r>
      <w:r>
        <w:rPr>
          <w:rFonts w:hint="eastAsia"/>
          <w:b/>
          <w:bCs/>
          <w:highlight w:val="none"/>
        </w:rPr>
        <w:t>、无效响应的判定</w:t>
      </w:r>
    </w:p>
    <w:p w14:paraId="4D16DD55">
      <w:pPr>
        <w:spacing w:line="340" w:lineRule="exact"/>
        <w:ind w:firstLine="482" w:firstLineChars="200"/>
        <w:rPr>
          <w:rFonts w:ascii="宋体" w:hAnsi="宋体" w:cs="华文楷体"/>
          <w:b/>
          <w:bCs/>
          <w:color w:val="000000"/>
          <w:sz w:val="24"/>
          <w:highlight w:val="none"/>
        </w:rPr>
      </w:pPr>
      <w:r>
        <w:rPr>
          <w:rFonts w:hint="eastAsia" w:ascii="宋体" w:hAnsi="宋体" w:cs="华文楷体"/>
          <w:b/>
          <w:bCs/>
          <w:color w:val="000000"/>
          <w:sz w:val="24"/>
          <w:highlight w:val="none"/>
        </w:rPr>
        <w:t>出现下列情况之一的，</w:t>
      </w:r>
      <w:r>
        <w:rPr>
          <w:rFonts w:hint="eastAsia" w:ascii="宋体" w:hAnsi="宋体" w:cs="华文楷体"/>
          <w:b/>
          <w:bCs/>
          <w:color w:val="000000"/>
          <w:sz w:val="24"/>
          <w:highlight w:val="none"/>
          <w:lang w:val="en-US" w:eastAsia="zh-CN"/>
        </w:rPr>
        <w:t>将被视为无效响应文件：</w:t>
      </w:r>
    </w:p>
    <w:p w14:paraId="2C7B6724">
      <w:pPr>
        <w:numPr>
          <w:ilvl w:val="0"/>
          <w:numId w:val="4"/>
        </w:numPr>
        <w:spacing w:line="360" w:lineRule="exact"/>
        <w:ind w:left="0" w:firstLine="480" w:firstLineChars="200"/>
        <w:rPr>
          <w:rFonts w:ascii="宋体" w:hAnsi="宋体" w:cs="楷体"/>
          <w:sz w:val="24"/>
          <w:highlight w:val="none"/>
        </w:rPr>
      </w:pPr>
      <w:r>
        <w:rPr>
          <w:rFonts w:hint="eastAsia" w:ascii="宋体" w:hAnsi="宋体" w:cs="楷体"/>
          <w:sz w:val="24"/>
          <w:highlight w:val="none"/>
        </w:rPr>
        <w:t>响应文件中的法定代表人委托代理人没有合法、有效的委托书（原件）或委托书无委托代理人签字或印章的。</w:t>
      </w:r>
    </w:p>
    <w:p w14:paraId="610D50D4">
      <w:pPr>
        <w:numPr>
          <w:ilvl w:val="0"/>
          <w:numId w:val="4"/>
        </w:numPr>
        <w:ind w:left="0" w:firstLine="480" w:firstLineChars="200"/>
        <w:rPr>
          <w:rFonts w:ascii="宋体" w:hAnsi="宋体"/>
          <w:sz w:val="24"/>
          <w:highlight w:val="none"/>
        </w:rPr>
      </w:pPr>
      <w:r>
        <w:rPr>
          <w:rFonts w:hint="eastAsia" w:ascii="宋体" w:hAnsi="宋体"/>
          <w:sz w:val="24"/>
          <w:highlight w:val="none"/>
        </w:rPr>
        <w:t>未按采购文件要求缴纳相关费用的。</w:t>
      </w:r>
    </w:p>
    <w:p w14:paraId="7F79A386">
      <w:pPr>
        <w:numPr>
          <w:ilvl w:val="0"/>
          <w:numId w:val="4"/>
        </w:numPr>
        <w:spacing w:line="360" w:lineRule="exact"/>
        <w:ind w:left="0" w:firstLine="480" w:firstLineChars="200"/>
        <w:rPr>
          <w:rFonts w:ascii="宋体" w:hAnsi="宋体" w:cs="楷体"/>
          <w:sz w:val="24"/>
          <w:highlight w:val="none"/>
        </w:rPr>
      </w:pPr>
      <w:r>
        <w:rPr>
          <w:rFonts w:hint="eastAsia" w:ascii="宋体" w:hAnsi="宋体" w:cs="楷体"/>
          <w:sz w:val="24"/>
          <w:highlight w:val="none"/>
        </w:rPr>
        <w:t>未按采购文件规定的格式填写，</w:t>
      </w:r>
      <w:r>
        <w:rPr>
          <w:rFonts w:hint="eastAsia" w:ascii="宋体" w:hAnsi="宋体" w:cs="楷体"/>
          <w:sz w:val="24"/>
          <w:highlight w:val="none"/>
          <w:lang w:val="en-US" w:eastAsia="zh-CN"/>
        </w:rPr>
        <w:t>或</w:t>
      </w:r>
      <w:r>
        <w:rPr>
          <w:rFonts w:hint="eastAsia" w:ascii="宋体" w:hAnsi="宋体" w:cs="楷体"/>
          <w:sz w:val="24"/>
          <w:highlight w:val="none"/>
        </w:rPr>
        <w:t>内容不全</w:t>
      </w:r>
      <w:r>
        <w:rPr>
          <w:rFonts w:hint="eastAsia" w:ascii="宋体" w:hAnsi="宋体" w:cs="楷体"/>
          <w:sz w:val="24"/>
          <w:highlight w:val="none"/>
          <w:lang w:eastAsia="zh-CN"/>
        </w:rPr>
        <w:t>、</w:t>
      </w:r>
      <w:r>
        <w:rPr>
          <w:rFonts w:hint="eastAsia" w:ascii="宋体" w:hAnsi="宋体" w:cs="楷体"/>
          <w:sz w:val="24"/>
          <w:highlight w:val="none"/>
        </w:rPr>
        <w:t>关键字模糊、无法辨认的。</w:t>
      </w:r>
    </w:p>
    <w:p w14:paraId="718FAB62">
      <w:pPr>
        <w:numPr>
          <w:ilvl w:val="0"/>
          <w:numId w:val="4"/>
        </w:numPr>
        <w:spacing w:line="360" w:lineRule="exact"/>
        <w:ind w:left="0" w:firstLine="480" w:firstLineChars="200"/>
        <w:rPr>
          <w:rFonts w:ascii="宋体" w:hAnsi="宋体" w:cs="楷体"/>
          <w:sz w:val="24"/>
          <w:highlight w:val="none"/>
        </w:rPr>
      </w:pPr>
      <w:r>
        <w:rPr>
          <w:rFonts w:hint="eastAsia" w:ascii="宋体" w:hAnsi="宋体" w:cs="楷体"/>
          <w:sz w:val="24"/>
          <w:highlight w:val="none"/>
        </w:rPr>
        <w:t>供应商全名或组织机构等与原件不一致的。</w:t>
      </w:r>
    </w:p>
    <w:p w14:paraId="22AD1D85">
      <w:pPr>
        <w:numPr>
          <w:ilvl w:val="0"/>
          <w:numId w:val="4"/>
        </w:numPr>
        <w:spacing w:line="360" w:lineRule="exact"/>
        <w:ind w:left="0" w:firstLine="480" w:firstLineChars="200"/>
        <w:rPr>
          <w:rFonts w:ascii="宋体" w:hAnsi="宋体" w:cs="楷体"/>
          <w:sz w:val="24"/>
          <w:highlight w:val="none"/>
        </w:rPr>
      </w:pPr>
      <w:r>
        <w:rPr>
          <w:rFonts w:hint="eastAsia" w:ascii="宋体" w:hAnsi="宋体" w:cs="楷体"/>
          <w:sz w:val="24"/>
          <w:highlight w:val="none"/>
        </w:rPr>
        <w:t>未通过资格审查和符合性审查的。</w:t>
      </w:r>
    </w:p>
    <w:p w14:paraId="62118288">
      <w:pPr>
        <w:numPr>
          <w:ilvl w:val="0"/>
          <w:numId w:val="4"/>
        </w:numPr>
        <w:spacing w:line="360" w:lineRule="exact"/>
        <w:ind w:left="0" w:firstLine="480" w:firstLineChars="200"/>
        <w:rPr>
          <w:rFonts w:ascii="宋体" w:hAnsi="宋体" w:cs="楷体"/>
          <w:sz w:val="24"/>
          <w:highlight w:val="none"/>
        </w:rPr>
      </w:pPr>
      <w:r>
        <w:rPr>
          <w:rFonts w:hint="eastAsia" w:ascii="宋体" w:hAnsi="宋体" w:cs="楷体"/>
          <w:sz w:val="24"/>
          <w:highlight w:val="none"/>
        </w:rPr>
        <w:t>资格条件不符合国家有关规定或采购文件其他要求的。</w:t>
      </w:r>
    </w:p>
    <w:p w14:paraId="64E89E94">
      <w:pPr>
        <w:numPr>
          <w:ilvl w:val="0"/>
          <w:numId w:val="4"/>
        </w:numPr>
        <w:spacing w:line="360" w:lineRule="exact"/>
        <w:ind w:left="0" w:firstLine="480" w:firstLineChars="200"/>
        <w:rPr>
          <w:rFonts w:ascii="宋体" w:hAnsi="宋体" w:cs="楷体"/>
          <w:sz w:val="24"/>
          <w:highlight w:val="none"/>
        </w:rPr>
      </w:pPr>
      <w:r>
        <w:rPr>
          <w:rFonts w:hint="eastAsia" w:ascii="宋体" w:hAnsi="宋体" w:cs="楷体"/>
          <w:sz w:val="24"/>
          <w:highlight w:val="none"/>
        </w:rPr>
        <w:t>明显不符合采购需求中的技术规范要求。</w:t>
      </w:r>
    </w:p>
    <w:p w14:paraId="751FCF8E">
      <w:pPr>
        <w:numPr>
          <w:ilvl w:val="0"/>
          <w:numId w:val="4"/>
        </w:numPr>
        <w:spacing w:line="360" w:lineRule="exact"/>
        <w:ind w:left="0" w:firstLine="480" w:firstLineChars="200"/>
        <w:rPr>
          <w:rFonts w:ascii="宋体" w:hAnsi="宋体" w:cs="楷体"/>
          <w:sz w:val="24"/>
          <w:highlight w:val="none"/>
          <w:shd w:val="clear" w:color="auto" w:fill="FFFFFF" w:themeFill="background1"/>
        </w:rPr>
      </w:pPr>
      <w:r>
        <w:rPr>
          <w:rFonts w:hint="eastAsia" w:ascii="宋体" w:hAnsi="宋体" w:cs="楷体"/>
          <w:sz w:val="24"/>
          <w:highlight w:val="none"/>
        </w:rPr>
        <w:t>磋商报价超过磋商文件规</w:t>
      </w:r>
      <w:r>
        <w:rPr>
          <w:rFonts w:hint="eastAsia" w:ascii="宋体" w:hAnsi="宋体" w:cs="楷体"/>
          <w:sz w:val="24"/>
          <w:highlight w:val="none"/>
          <w:shd w:val="clear" w:color="auto" w:fill="FFFFFF" w:themeFill="background1"/>
        </w:rPr>
        <w:t>定的最高限价的。</w:t>
      </w:r>
    </w:p>
    <w:p w14:paraId="0B1AB07F">
      <w:pPr>
        <w:numPr>
          <w:ilvl w:val="0"/>
          <w:numId w:val="4"/>
        </w:numPr>
        <w:spacing w:line="360" w:lineRule="exact"/>
        <w:ind w:left="0" w:firstLine="480" w:firstLineChars="200"/>
        <w:rPr>
          <w:rFonts w:ascii="宋体" w:hAnsi="宋体" w:cs="楷体"/>
          <w:sz w:val="24"/>
          <w:highlight w:val="none"/>
        </w:rPr>
      </w:pPr>
      <w:r>
        <w:rPr>
          <w:rFonts w:hint="eastAsia" w:ascii="宋体" w:hAnsi="宋体" w:cs="楷体"/>
          <w:sz w:val="24"/>
          <w:highlight w:val="none"/>
        </w:rPr>
        <w:t>不同供应商的响应文件出现了磋商小组认为不应当雷同的情况。</w:t>
      </w:r>
    </w:p>
    <w:p w14:paraId="68C6E5D9">
      <w:pPr>
        <w:spacing w:line="360" w:lineRule="exact"/>
        <w:ind w:left="480"/>
        <w:rPr>
          <w:rFonts w:ascii="宋体" w:hAnsi="宋体" w:cs="楷体"/>
          <w:sz w:val="24"/>
          <w:highlight w:val="none"/>
        </w:rPr>
      </w:pPr>
      <w:r>
        <w:rPr>
          <w:rFonts w:hint="eastAsia" w:ascii="宋体" w:hAnsi="宋体" w:cs="楷体"/>
          <w:sz w:val="24"/>
          <w:highlight w:val="none"/>
        </w:rPr>
        <w:t>10.响应文件提出了不能满足磋商文件要求或采购人不能接受的支付办法。</w:t>
      </w:r>
    </w:p>
    <w:p w14:paraId="6F00795B">
      <w:pPr>
        <w:spacing w:line="360" w:lineRule="exact"/>
        <w:ind w:left="480"/>
        <w:rPr>
          <w:rFonts w:ascii="宋体" w:hAnsi="宋体" w:cs="楷体"/>
          <w:sz w:val="24"/>
          <w:highlight w:val="none"/>
        </w:rPr>
      </w:pPr>
      <w:r>
        <w:rPr>
          <w:rFonts w:hint="eastAsia" w:ascii="宋体" w:hAnsi="宋体" w:cs="楷体"/>
          <w:sz w:val="24"/>
          <w:highlight w:val="none"/>
        </w:rPr>
        <w:t>11.</w:t>
      </w:r>
      <w:r>
        <w:rPr>
          <w:rFonts w:hint="eastAsia" w:ascii="宋体" w:hAnsi="宋体" w:cs="楷体"/>
          <w:sz w:val="24"/>
        </w:rPr>
        <w:t>串通投标、以行贿手段谋取中标或者以其他弄虚作假方式投标的</w:t>
      </w:r>
      <w:r>
        <w:rPr>
          <w:rFonts w:hint="eastAsia" w:ascii="宋体" w:hAnsi="宋体" w:cs="楷体"/>
          <w:sz w:val="24"/>
          <w:highlight w:val="none"/>
        </w:rPr>
        <w:t>。</w:t>
      </w:r>
    </w:p>
    <w:p w14:paraId="15CA3862">
      <w:pPr>
        <w:spacing w:line="360" w:lineRule="exact"/>
        <w:ind w:left="480"/>
        <w:rPr>
          <w:rFonts w:hint="eastAsia" w:cs="楷体" w:asciiTheme="minorEastAsia" w:hAnsiTheme="minorEastAsia" w:eastAsiaTheme="minorEastAsia"/>
          <w:sz w:val="24"/>
          <w:highlight w:val="none"/>
        </w:rPr>
      </w:pPr>
      <w:r>
        <w:rPr>
          <w:rFonts w:hint="eastAsia" w:ascii="宋体" w:hAnsi="宋体" w:cs="楷体"/>
          <w:sz w:val="24"/>
          <w:highlight w:val="none"/>
        </w:rPr>
        <w:t>12.</w:t>
      </w:r>
      <w:r>
        <w:rPr>
          <w:rFonts w:hint="eastAsia" w:ascii="宋体" w:hAnsi="宋体" w:cs="楷体"/>
          <w:sz w:val="24"/>
          <w:highlight w:val="none"/>
          <w:lang w:val="en-US" w:eastAsia="zh-CN"/>
        </w:rPr>
        <w:t>未实质性响应采购文件要求</w:t>
      </w:r>
      <w:r>
        <w:rPr>
          <w:rFonts w:hint="eastAsia" w:cs="楷体" w:asciiTheme="minorEastAsia" w:hAnsiTheme="minorEastAsia" w:eastAsiaTheme="minorEastAsia"/>
          <w:sz w:val="24"/>
          <w:highlight w:val="none"/>
        </w:rPr>
        <w:t>的。</w:t>
      </w:r>
    </w:p>
    <w:p w14:paraId="10CF3E73">
      <w:pPr>
        <w:pStyle w:val="6"/>
        <w:ind w:firstLine="480" w:firstLineChars="200"/>
        <w:rPr>
          <w:rFonts w:ascii="宋体" w:hAnsi="宋体"/>
          <w:b/>
          <w:color w:val="000000"/>
          <w:sz w:val="24"/>
          <w:highlight w:val="darkCyan"/>
        </w:rPr>
      </w:pPr>
      <w:r>
        <w:rPr>
          <w:rFonts w:hint="eastAsia" w:cs="楷体" w:asciiTheme="minorEastAsia" w:hAnsiTheme="minorEastAsia" w:eastAsiaTheme="minorEastAsia"/>
          <w:sz w:val="24"/>
          <w:highlight w:val="none"/>
          <w:lang w:val="en-US" w:eastAsia="zh-CN"/>
        </w:rPr>
        <w:t>13.</w:t>
      </w:r>
      <w:r>
        <w:rPr>
          <w:rFonts w:hint="eastAsia" w:ascii="宋体" w:hAnsi="宋体" w:eastAsia="宋体" w:cs="楷体"/>
          <w:kern w:val="2"/>
          <w:sz w:val="24"/>
          <w:szCs w:val="24"/>
          <w:lang w:val="en-US" w:eastAsia="zh-CN" w:bidi="ar-SA"/>
        </w:rPr>
        <w:t>报价明显低于其他供应商</w:t>
      </w:r>
      <w:r>
        <w:rPr>
          <w:rFonts w:hint="eastAsia" w:ascii="宋体" w:hAnsi="宋体" w:cs="楷体"/>
          <w:kern w:val="2"/>
          <w:sz w:val="24"/>
          <w:szCs w:val="24"/>
          <w:lang w:val="en-US" w:eastAsia="zh-CN" w:bidi="ar-SA"/>
        </w:rPr>
        <w:t>或彼时市场价</w:t>
      </w:r>
      <w:r>
        <w:rPr>
          <w:rFonts w:hint="eastAsia" w:ascii="宋体" w:hAnsi="宋体" w:eastAsia="宋体" w:cs="楷体"/>
          <w:kern w:val="2"/>
          <w:sz w:val="24"/>
          <w:szCs w:val="24"/>
          <w:lang w:val="en-US" w:eastAsia="zh-CN" w:bidi="ar-SA"/>
        </w:rPr>
        <w:t>，且有可能出现影响产品质量或不能诚信履约的情形，磋商小组</w:t>
      </w:r>
      <w:r>
        <w:rPr>
          <w:rFonts w:hint="eastAsia" w:ascii="宋体" w:hAnsi="宋体" w:cs="楷体"/>
          <w:kern w:val="2"/>
          <w:sz w:val="24"/>
          <w:szCs w:val="24"/>
          <w:lang w:val="en-US" w:eastAsia="zh-CN" w:bidi="ar-SA"/>
        </w:rPr>
        <w:t>可</w:t>
      </w:r>
      <w:r>
        <w:rPr>
          <w:rFonts w:hint="eastAsia" w:ascii="宋体" w:hAnsi="宋体" w:eastAsia="宋体" w:cs="楷体"/>
          <w:kern w:val="2"/>
          <w:sz w:val="24"/>
          <w:szCs w:val="24"/>
          <w:lang w:val="en-US" w:eastAsia="zh-CN" w:bidi="ar-SA"/>
        </w:rPr>
        <w:t>要求该供应商</w:t>
      </w:r>
      <w:r>
        <w:rPr>
          <w:rFonts w:hint="eastAsia" w:ascii="宋体" w:hAnsi="宋体" w:cs="楷体"/>
          <w:kern w:val="2"/>
          <w:sz w:val="24"/>
          <w:szCs w:val="24"/>
          <w:lang w:val="en-US" w:eastAsia="zh-CN" w:bidi="ar-SA"/>
        </w:rPr>
        <w:t>在磋商环节</w:t>
      </w:r>
      <w:r>
        <w:rPr>
          <w:rFonts w:hint="eastAsia" w:ascii="宋体" w:hAnsi="宋体" w:eastAsia="宋体" w:cs="楷体"/>
          <w:kern w:val="2"/>
          <w:sz w:val="24"/>
          <w:szCs w:val="24"/>
          <w:lang w:val="en-US" w:eastAsia="zh-CN" w:bidi="ar-SA"/>
        </w:rPr>
        <w:t>对其报价作出必要说明。若供应商不能充分证明其报价的合理性，磋商小组有权</w:t>
      </w:r>
      <w:r>
        <w:rPr>
          <w:rFonts w:hint="eastAsia" w:ascii="宋体" w:hAnsi="宋体" w:cs="楷体"/>
          <w:kern w:val="2"/>
          <w:sz w:val="24"/>
          <w:szCs w:val="24"/>
          <w:lang w:val="en-US" w:eastAsia="zh-CN" w:bidi="ar-SA"/>
        </w:rPr>
        <w:t>按</w:t>
      </w:r>
      <w:r>
        <w:rPr>
          <w:rFonts w:hint="eastAsia" w:ascii="宋体" w:hAnsi="宋体" w:eastAsia="宋体" w:cs="楷体"/>
          <w:kern w:val="2"/>
          <w:sz w:val="24"/>
          <w:szCs w:val="24"/>
          <w:lang w:val="en-US" w:eastAsia="zh-CN" w:bidi="ar-SA"/>
        </w:rPr>
        <w:t>无效响应处理。</w:t>
      </w:r>
    </w:p>
    <w:p w14:paraId="51D4AF35">
      <w:pPr>
        <w:pStyle w:val="6"/>
        <w:ind w:firstLine="420" w:firstLineChars="200"/>
        <w:rPr>
          <w:rFonts w:hint="default" w:eastAsiaTheme="minorEastAsia"/>
          <w:lang w:val="en-US" w:eastAsia="zh-CN"/>
        </w:rPr>
      </w:pPr>
    </w:p>
    <w:p w14:paraId="53684F10">
      <w:pPr>
        <w:widowControl/>
        <w:jc w:val="left"/>
        <w:rPr>
          <w:rFonts w:cs="华文楷体" w:asciiTheme="minorEastAsia" w:hAnsiTheme="minorEastAsia" w:eastAsiaTheme="minorEastAsia"/>
          <w:color w:val="000000" w:themeColor="text1"/>
          <w:sz w:val="24"/>
        </w:rPr>
      </w:pPr>
      <w:r>
        <w:rPr>
          <w:rFonts w:cs="华文楷体" w:asciiTheme="minorEastAsia" w:hAnsiTheme="minorEastAsia" w:eastAsiaTheme="minorEastAsia"/>
          <w:color w:val="000000" w:themeColor="text1"/>
          <w:sz w:val="24"/>
        </w:rPr>
        <w:br w:type="page"/>
      </w:r>
    </w:p>
    <w:p w14:paraId="3BFC4F27">
      <w:pPr>
        <w:spacing w:line="340" w:lineRule="exact"/>
        <w:ind w:firstLine="3500" w:firstLineChars="1245"/>
        <w:rPr>
          <w:rFonts w:cs="华文楷体" w:asciiTheme="minorEastAsia" w:hAnsiTheme="minorEastAsia" w:eastAsiaTheme="minorEastAsia"/>
          <w:b/>
          <w:bCs/>
          <w:color w:val="000000" w:themeColor="text1"/>
          <w:kern w:val="44"/>
          <w:sz w:val="28"/>
          <w:szCs w:val="28"/>
        </w:rPr>
      </w:pPr>
      <w:r>
        <w:rPr>
          <w:rFonts w:hint="eastAsia" w:cs="华文楷体" w:asciiTheme="minorEastAsia" w:hAnsiTheme="minorEastAsia" w:eastAsiaTheme="minorEastAsia"/>
          <w:b/>
          <w:bCs/>
          <w:color w:val="000000" w:themeColor="text1"/>
          <w:kern w:val="44"/>
          <w:sz w:val="28"/>
          <w:szCs w:val="28"/>
        </w:rPr>
        <w:t>第二章项目需求</w:t>
      </w:r>
    </w:p>
    <w:p w14:paraId="6A2785D6">
      <w:pPr>
        <w:spacing w:line="360" w:lineRule="auto"/>
        <w:ind w:firstLine="482" w:firstLineChars="200"/>
        <w:contextualSpacing/>
        <w:rPr>
          <w:rFonts w:ascii="宋体" w:hAnsi="宋体"/>
          <w:b/>
          <w:bCs/>
          <w:sz w:val="24"/>
        </w:rPr>
      </w:pPr>
    </w:p>
    <w:p w14:paraId="6C1805C3">
      <w:pPr>
        <w:spacing w:line="360" w:lineRule="auto"/>
        <w:ind w:firstLine="482" w:firstLineChars="200"/>
        <w:contextualSpacing/>
        <w:rPr>
          <w:rFonts w:ascii="宋体" w:hAnsi="宋体"/>
          <w:b/>
          <w:bCs/>
          <w:sz w:val="24"/>
        </w:rPr>
      </w:pPr>
      <w:r>
        <w:rPr>
          <w:rFonts w:hint="eastAsia" w:ascii="宋体" w:hAnsi="宋体"/>
          <w:b/>
          <w:bCs/>
          <w:sz w:val="24"/>
        </w:rPr>
        <w:t>一、项目概况及技术参数要求</w:t>
      </w:r>
    </w:p>
    <w:p w14:paraId="0D1986BF">
      <w:pPr>
        <w:spacing w:line="360" w:lineRule="auto"/>
        <w:ind w:firstLine="480"/>
        <w:contextualSpacing/>
        <w:rPr>
          <w:sz w:val="24"/>
        </w:rPr>
      </w:pPr>
      <w:r>
        <w:rPr>
          <w:color w:val="000000"/>
          <w:sz w:val="24"/>
        </w:rPr>
        <w:t>此项目具体建设实验室为江苏师范大学泉山校区</w:t>
      </w:r>
      <w:r>
        <w:rPr>
          <w:rFonts w:hint="eastAsia"/>
          <w:color w:val="000000"/>
          <w:sz w:val="24"/>
        </w:rPr>
        <w:t>教</w:t>
      </w:r>
      <w:r>
        <w:rPr>
          <w:color w:val="000000"/>
          <w:sz w:val="24"/>
        </w:rPr>
        <w:t>20</w:t>
      </w:r>
      <w:r>
        <w:rPr>
          <w:rFonts w:hint="eastAsia"/>
          <w:color w:val="000000"/>
          <w:sz w:val="24"/>
        </w:rPr>
        <w:t>号楼</w:t>
      </w:r>
      <w:r>
        <w:rPr>
          <w:color w:val="000000"/>
          <w:sz w:val="24"/>
        </w:rPr>
        <w:t>化学与材料科学学院纳米制备实验室</w:t>
      </w:r>
      <w:r>
        <w:rPr>
          <w:rFonts w:hint="eastAsia"/>
          <w:color w:val="000000"/>
          <w:sz w:val="24"/>
        </w:rPr>
        <w:t>（1</w:t>
      </w:r>
      <w:r>
        <w:rPr>
          <w:color w:val="000000"/>
          <w:sz w:val="24"/>
        </w:rPr>
        <w:t>11</w:t>
      </w:r>
      <w:r>
        <w:rPr>
          <w:rFonts w:hint="eastAsia"/>
          <w:color w:val="000000"/>
          <w:sz w:val="24"/>
        </w:rPr>
        <w:t>室）</w:t>
      </w:r>
      <w:r>
        <w:rPr>
          <w:color w:val="000000"/>
          <w:sz w:val="24"/>
        </w:rPr>
        <w:t>和光电传感实验室</w:t>
      </w:r>
      <w:r>
        <w:rPr>
          <w:rFonts w:hint="eastAsia"/>
          <w:color w:val="000000"/>
          <w:sz w:val="24"/>
        </w:rPr>
        <w:t>（1</w:t>
      </w:r>
      <w:r>
        <w:rPr>
          <w:color w:val="000000"/>
          <w:sz w:val="24"/>
        </w:rPr>
        <w:t>13</w:t>
      </w:r>
      <w:r>
        <w:rPr>
          <w:rFonts w:hint="eastAsia"/>
          <w:color w:val="000000"/>
          <w:sz w:val="24"/>
        </w:rPr>
        <w:t>室）</w:t>
      </w:r>
      <w:r>
        <w:rPr>
          <w:color w:val="000000"/>
          <w:sz w:val="24"/>
        </w:rPr>
        <w:t>。</w:t>
      </w:r>
      <w:r>
        <w:rPr>
          <w:rFonts w:hint="eastAsia"/>
          <w:sz w:val="24"/>
        </w:rPr>
        <w:t>利用高新科技，提高实验室的安全等级；利用智能化、信息化手段，对实验室安全预警。开放共享建设，提高资源利用率，发挥资源的最大价值。利用信息化手段，提高实验室的管理水平，解放生产力。</w:t>
      </w:r>
    </w:p>
    <w:p w14:paraId="7A40CB2B">
      <w:pPr>
        <w:spacing w:line="360" w:lineRule="auto"/>
        <w:ind w:firstLine="480"/>
        <w:contextualSpacing/>
        <w:rPr>
          <w:rFonts w:ascii="宋体" w:hAnsi="宋体"/>
          <w:sz w:val="24"/>
        </w:rPr>
      </w:pPr>
      <w:r>
        <w:rPr>
          <w:rFonts w:hint="eastAsia" w:ascii="宋体" w:hAnsi="宋体"/>
          <w:sz w:val="24"/>
        </w:rPr>
        <w:t>项目建设主要包含三个部分，一是实验室信息管理，二是视频监控管理，三是实验室装修改造，详细建设需求描述如下：</w:t>
      </w:r>
    </w:p>
    <w:p w14:paraId="23B93EAD">
      <w:pPr>
        <w:spacing w:line="360" w:lineRule="auto"/>
        <w:ind w:firstLine="482" w:firstLineChars="200"/>
        <w:contextualSpacing/>
        <w:rPr>
          <w:rFonts w:ascii="宋体" w:hAnsi="宋体"/>
          <w:b/>
          <w:bCs/>
          <w:sz w:val="24"/>
        </w:rPr>
      </w:pPr>
      <w:r>
        <w:rPr>
          <w:rFonts w:hint="eastAsia" w:ascii="宋体" w:hAnsi="宋体"/>
          <w:b/>
          <w:bCs/>
          <w:sz w:val="24"/>
        </w:rPr>
        <w:t>（一）实验室信息管理</w:t>
      </w:r>
    </w:p>
    <w:p w14:paraId="7C4BEC24">
      <w:pPr>
        <w:spacing w:line="360" w:lineRule="auto"/>
        <w:ind w:firstLine="480"/>
        <w:contextualSpacing/>
        <w:rPr>
          <w:rFonts w:ascii="宋体" w:hAnsi="宋体"/>
          <w:b/>
          <w:bCs/>
          <w:sz w:val="24"/>
        </w:rPr>
      </w:pPr>
      <w:r>
        <w:rPr>
          <w:rFonts w:hint="eastAsia" w:ascii="宋体" w:hAnsi="宋体"/>
          <w:b/>
          <w:bCs/>
          <w:sz w:val="24"/>
        </w:rPr>
        <w:t>1. 综合管理：设备管理模块是硬件管理、气体监测、运营监控、智启管理、预警管理及运维管理的综合支撑平台。基础数据维护及系统配置，支持手机端和电脑端。</w:t>
      </w:r>
    </w:p>
    <w:p w14:paraId="002576DB">
      <w:pPr>
        <w:spacing w:line="360" w:lineRule="auto"/>
        <w:ind w:firstLine="482" w:firstLineChars="200"/>
        <w:contextualSpacing/>
        <w:rPr>
          <w:rFonts w:ascii="宋体" w:hAnsi="宋体" w:cs="宋体"/>
          <w:b/>
          <w:bCs/>
          <w:sz w:val="24"/>
        </w:rPr>
      </w:pPr>
      <w:r>
        <w:rPr>
          <w:rFonts w:hint="eastAsia" w:ascii="宋体" w:hAnsi="宋体" w:cs="宋体"/>
          <w:b/>
          <w:bCs/>
          <w:sz w:val="24"/>
        </w:rPr>
        <w:t>设备管理模块1套，需求如下：</w:t>
      </w:r>
    </w:p>
    <w:p w14:paraId="3BA4F18D">
      <w:pPr>
        <w:spacing w:line="360" w:lineRule="auto"/>
        <w:ind w:firstLine="480" w:firstLineChars="200"/>
        <w:contextualSpacing/>
        <w:rPr>
          <w:rFonts w:ascii="宋体" w:hAnsi="宋体" w:cs="宋体"/>
          <w:sz w:val="24"/>
        </w:rPr>
      </w:pPr>
      <w:r>
        <w:rPr>
          <w:rFonts w:hint="eastAsia" w:ascii="宋体" w:hAnsi="宋体" w:cs="宋体"/>
          <w:sz w:val="24"/>
        </w:rPr>
        <w:t>平台管理端需求：</w:t>
      </w:r>
    </w:p>
    <w:p w14:paraId="2B5F4851">
      <w:pPr>
        <w:spacing w:line="360" w:lineRule="auto"/>
        <w:ind w:firstLine="480" w:firstLineChars="200"/>
        <w:contextualSpacing/>
        <w:rPr>
          <w:rFonts w:ascii="宋体" w:hAnsi="宋体"/>
          <w:sz w:val="24"/>
        </w:rPr>
      </w:pPr>
      <w:r>
        <w:rPr>
          <w:rFonts w:hint="eastAsia" w:ascii="宋体" w:hAnsi="宋体" w:cs="宋体"/>
          <w:sz w:val="24"/>
        </w:rPr>
        <w:t>★</w:t>
      </w:r>
      <w:r>
        <w:rPr>
          <w:rFonts w:hint="eastAsia" w:ascii="宋体" w:hAnsi="宋体"/>
          <w:sz w:val="24"/>
        </w:rPr>
        <w:t>系统应具备平台管理端（PC版）、实验室管理移动端（APP/H5版）、用户在线报修移动端（H5版）等针对不同用户的使用版本。</w:t>
      </w:r>
    </w:p>
    <w:p w14:paraId="24136EE7">
      <w:pPr>
        <w:spacing w:line="360" w:lineRule="auto"/>
        <w:contextualSpacing/>
        <w:rPr>
          <w:rFonts w:ascii="宋体" w:hAnsi="宋体"/>
          <w:sz w:val="24"/>
        </w:rPr>
      </w:pPr>
      <w:r>
        <w:rPr>
          <w:rFonts w:hint="eastAsia" w:ascii="宋体" w:hAnsi="宋体"/>
          <w:sz w:val="24"/>
        </w:rPr>
        <w:t>平台管理端需求：</w:t>
      </w:r>
    </w:p>
    <w:p w14:paraId="6FEDF698">
      <w:pPr>
        <w:spacing w:line="360" w:lineRule="auto"/>
        <w:ind w:firstLine="480" w:firstLineChars="200"/>
        <w:contextualSpacing/>
        <w:rPr>
          <w:rFonts w:ascii="宋体" w:hAnsi="宋体"/>
          <w:sz w:val="24"/>
        </w:rPr>
      </w:pPr>
      <w:r>
        <w:rPr>
          <w:rFonts w:hint="eastAsia" w:ascii="宋体" w:hAnsi="宋体"/>
          <w:sz w:val="24"/>
        </w:rPr>
        <w:t>（1）人员管理</w:t>
      </w:r>
    </w:p>
    <w:p w14:paraId="533F865C">
      <w:pPr>
        <w:spacing w:line="360" w:lineRule="auto"/>
        <w:ind w:firstLine="480" w:firstLineChars="200"/>
        <w:contextualSpacing/>
        <w:rPr>
          <w:rFonts w:ascii="宋体" w:hAnsi="宋体"/>
          <w:sz w:val="24"/>
        </w:rPr>
      </w:pPr>
      <w:r>
        <w:rPr>
          <w:rFonts w:hint="eastAsia" w:ascii="宋体" w:hAnsi="宋体"/>
          <w:sz w:val="24"/>
        </w:rPr>
        <w:t>学生账号管理：对平台上的学生账号信息进行管理，包含信息有：学生姓名、学生手机号码、学号等。可新增，修改，删除。可对接学校统一身份认证系统或其他管理平台中的学生信息。</w:t>
      </w:r>
    </w:p>
    <w:p w14:paraId="5DE96CB7">
      <w:pPr>
        <w:spacing w:line="360" w:lineRule="auto"/>
        <w:ind w:firstLine="480" w:firstLineChars="200"/>
        <w:contextualSpacing/>
        <w:rPr>
          <w:rFonts w:ascii="宋体" w:hAnsi="宋体"/>
          <w:sz w:val="24"/>
        </w:rPr>
      </w:pPr>
      <w:r>
        <w:rPr>
          <w:rFonts w:hint="eastAsia" w:ascii="宋体" w:hAnsi="宋体"/>
          <w:sz w:val="24"/>
        </w:rPr>
        <w:t>教师账号管理：对平台上的教师账号信息进行管理，包含信息有：教师姓名、教师手机号码等。可新增，修改，删除。可对接学校统一身份认证系统或学校其他管理平台中的教师信息。</w:t>
      </w:r>
    </w:p>
    <w:p w14:paraId="53B7AC89">
      <w:pPr>
        <w:spacing w:line="360" w:lineRule="auto"/>
        <w:ind w:firstLine="480" w:firstLineChars="200"/>
        <w:contextualSpacing/>
        <w:rPr>
          <w:rFonts w:ascii="宋体" w:hAnsi="宋体"/>
          <w:sz w:val="24"/>
        </w:rPr>
      </w:pPr>
      <w:r>
        <w:rPr>
          <w:rFonts w:hint="eastAsia" w:ascii="宋体" w:hAnsi="宋体"/>
          <w:sz w:val="24"/>
        </w:rPr>
        <w:t>实验室管员：对平台管理人员的账号信息进行管理，可通过平台赋予用户权限或角色权限。实现对学生账号、教师账号管理。</w:t>
      </w:r>
    </w:p>
    <w:p w14:paraId="10B3A5EB">
      <w:pPr>
        <w:spacing w:line="360" w:lineRule="auto"/>
        <w:ind w:firstLine="480" w:firstLineChars="200"/>
        <w:contextualSpacing/>
        <w:rPr>
          <w:rFonts w:ascii="宋体" w:hAnsi="宋体"/>
          <w:sz w:val="24"/>
        </w:rPr>
      </w:pPr>
      <w:r>
        <w:rPr>
          <w:rFonts w:hint="eastAsia" w:ascii="宋体" w:hAnsi="宋体"/>
          <w:sz w:val="24"/>
        </w:rPr>
        <w:t>（2）实验室门禁管理</w:t>
      </w:r>
    </w:p>
    <w:p w14:paraId="2FEF019D">
      <w:pPr>
        <w:spacing w:line="360" w:lineRule="auto"/>
        <w:ind w:firstLine="480" w:firstLineChars="200"/>
        <w:contextualSpacing/>
        <w:rPr>
          <w:rFonts w:ascii="宋体" w:hAnsi="宋体"/>
          <w:sz w:val="24"/>
        </w:rPr>
      </w:pPr>
      <w:r>
        <w:rPr>
          <w:rFonts w:hint="eastAsia" w:ascii="宋体" w:hAnsi="宋体"/>
          <w:sz w:val="24"/>
        </w:rPr>
        <w:t>▲门禁权限管理：可通过管理后台，实现对门禁进行人员权限发放、收回。可对门禁设置开门密码。提供功能截图证明。</w:t>
      </w:r>
    </w:p>
    <w:p w14:paraId="4B1409C2">
      <w:pPr>
        <w:spacing w:line="360" w:lineRule="auto"/>
        <w:ind w:firstLine="480" w:firstLineChars="200"/>
        <w:contextualSpacing/>
        <w:rPr>
          <w:rFonts w:ascii="宋体" w:hAnsi="宋体"/>
          <w:sz w:val="24"/>
        </w:rPr>
      </w:pPr>
      <w:r>
        <w:rPr>
          <w:rFonts w:ascii="宋体" w:hAnsi="宋体"/>
          <w:sz w:val="24"/>
        </w:rPr>
        <w:t>门禁开门记录</w:t>
      </w:r>
      <w:r>
        <w:rPr>
          <w:rFonts w:hint="eastAsia" w:ascii="宋体" w:hAnsi="宋体"/>
          <w:sz w:val="24"/>
        </w:rPr>
        <w:t>：支持查看每个门禁的开门日志信息，详细记录开门时间、操作人员、开门位置等。以便于管理人员进行系统使用分析等。</w:t>
      </w:r>
    </w:p>
    <w:p w14:paraId="2142BE57">
      <w:pPr>
        <w:spacing w:line="360" w:lineRule="auto"/>
        <w:ind w:firstLine="480" w:firstLineChars="200"/>
        <w:contextualSpacing/>
        <w:rPr>
          <w:rFonts w:ascii="宋体" w:hAnsi="宋体"/>
          <w:sz w:val="24"/>
        </w:rPr>
      </w:pPr>
      <w:r>
        <w:rPr>
          <w:rFonts w:hint="eastAsia" w:ascii="宋体" w:hAnsi="宋体"/>
          <w:sz w:val="24"/>
        </w:rPr>
        <w:t>（3）硬件管理</w:t>
      </w:r>
    </w:p>
    <w:p w14:paraId="293E5CE7">
      <w:pPr>
        <w:spacing w:line="360" w:lineRule="auto"/>
        <w:ind w:firstLine="480" w:firstLineChars="200"/>
        <w:contextualSpacing/>
        <w:rPr>
          <w:rFonts w:ascii="宋体" w:hAnsi="宋体"/>
          <w:sz w:val="24"/>
        </w:rPr>
      </w:pPr>
      <w:r>
        <w:rPr>
          <w:rFonts w:hint="eastAsia" w:ascii="宋体" w:hAnsi="宋体"/>
          <w:sz w:val="24"/>
        </w:rPr>
        <w:t>在平台管理端，系统可对实验室中环境监测设备与智能设备进行在线注册及配置、可视化管理视频监控，实现同实验室内所有设备状态结果监测与设备远程管理在同一界面，无需切换即可查看设备的运行状态（如：温湿度数据、门禁状态、空调状态等），并且可以远程进行控制、管理（如：设备电源开关等控制与调节等）或设置设备无人值守自动化管理预案由系统自动执行。</w:t>
      </w:r>
    </w:p>
    <w:p w14:paraId="3ADF02D1">
      <w:pPr>
        <w:spacing w:line="360" w:lineRule="auto"/>
        <w:ind w:firstLine="480" w:firstLineChars="200"/>
        <w:contextualSpacing/>
        <w:rPr>
          <w:rFonts w:ascii="宋体" w:hAnsi="宋体"/>
          <w:sz w:val="24"/>
        </w:rPr>
      </w:pPr>
      <w:r>
        <w:rPr>
          <w:rFonts w:hint="eastAsia" w:ascii="宋体" w:hAnsi="宋体"/>
          <w:sz w:val="24"/>
        </w:rPr>
        <w:t>①智能硬件类型：可对系统支持的各类监测设备、智能控制设备进行分类管理，并可自定义分类。</w:t>
      </w:r>
    </w:p>
    <w:p w14:paraId="4077037F">
      <w:pPr>
        <w:spacing w:line="360" w:lineRule="auto"/>
        <w:ind w:firstLine="480" w:firstLineChars="200"/>
        <w:contextualSpacing/>
        <w:rPr>
          <w:rFonts w:ascii="宋体" w:hAnsi="宋体"/>
          <w:sz w:val="24"/>
        </w:rPr>
      </w:pPr>
      <w:r>
        <w:rPr>
          <w:rFonts w:hint="eastAsia" w:ascii="宋体" w:hAnsi="宋体"/>
          <w:sz w:val="24"/>
        </w:rPr>
        <w:t>②控制主机注册：可对使用中的智能控制设备（如：电源控制器等）进行系统注册，只有注册成功的设备才可以自动连接服务器并上报或接收数据。</w:t>
      </w:r>
    </w:p>
    <w:p w14:paraId="4F85AB36">
      <w:pPr>
        <w:spacing w:line="360" w:lineRule="auto"/>
        <w:ind w:firstLine="480" w:firstLineChars="200"/>
        <w:contextualSpacing/>
        <w:rPr>
          <w:rFonts w:ascii="宋体" w:hAnsi="宋体"/>
          <w:sz w:val="24"/>
        </w:rPr>
      </w:pPr>
      <w:r>
        <w:rPr>
          <w:rFonts w:hint="eastAsia" w:ascii="宋体" w:hAnsi="宋体"/>
          <w:sz w:val="24"/>
        </w:rPr>
        <w:t>③设备终端注册：可对智能控制器所连接的硬件设备进行注册，注册内容：硬件编码、硬件名称、硬件类型、终端IP、终端编码、终端名称、终端类型、信号类型进行管理。</w:t>
      </w:r>
    </w:p>
    <w:p w14:paraId="46972E8A">
      <w:pPr>
        <w:spacing w:line="360" w:lineRule="auto"/>
        <w:ind w:firstLine="480" w:firstLineChars="200"/>
        <w:contextualSpacing/>
        <w:rPr>
          <w:rFonts w:ascii="宋体" w:hAnsi="宋体"/>
          <w:sz w:val="24"/>
        </w:rPr>
      </w:pPr>
      <w:r>
        <w:rPr>
          <w:rFonts w:hint="eastAsia" w:ascii="宋体" w:hAnsi="宋体"/>
          <w:sz w:val="24"/>
        </w:rPr>
        <w:t>④采集主机注册：可对使用中的环境采集设备（如：环境监控主机等）进行系统注册，只有注册成功的设备才可以自动连接服务器并上报或接收数据。</w:t>
      </w:r>
    </w:p>
    <w:p w14:paraId="3A477165">
      <w:pPr>
        <w:spacing w:line="360" w:lineRule="auto"/>
        <w:ind w:firstLine="480" w:firstLineChars="200"/>
        <w:contextualSpacing/>
        <w:rPr>
          <w:rFonts w:ascii="宋体" w:hAnsi="宋体"/>
          <w:sz w:val="24"/>
        </w:rPr>
      </w:pPr>
      <w:r>
        <w:rPr>
          <w:rFonts w:hint="eastAsia" w:ascii="宋体" w:hAnsi="宋体"/>
          <w:sz w:val="24"/>
        </w:rPr>
        <w:t>⑤采集终端注册：可对采集器所连接的硬件设备进行注册，注册内容：硬件编码、硬件名称、硬件类型、终端IP、终端编码、终端名称、终端类型、信号类型进行管理。</w:t>
      </w:r>
    </w:p>
    <w:p w14:paraId="70B0DDC2">
      <w:pPr>
        <w:spacing w:line="360" w:lineRule="auto"/>
        <w:ind w:firstLine="480" w:firstLineChars="200"/>
        <w:contextualSpacing/>
        <w:rPr>
          <w:rFonts w:ascii="宋体" w:hAnsi="宋体"/>
          <w:sz w:val="24"/>
        </w:rPr>
      </w:pPr>
      <w:r>
        <w:rPr>
          <w:rFonts w:hint="eastAsia" w:ascii="宋体" w:hAnsi="宋体"/>
          <w:sz w:val="24"/>
        </w:rPr>
        <w:t>⑥实验室设备绑定：按实验室对使用中的各类设备进行绑定，如：控制器、采集器、电子班牌等硬件信息。</w:t>
      </w:r>
    </w:p>
    <w:p w14:paraId="75917EE2">
      <w:pPr>
        <w:spacing w:line="360" w:lineRule="auto"/>
        <w:ind w:firstLine="480" w:firstLineChars="200"/>
        <w:contextualSpacing/>
        <w:rPr>
          <w:rFonts w:ascii="宋体" w:hAnsi="宋体"/>
          <w:sz w:val="24"/>
        </w:rPr>
      </w:pPr>
      <w:r>
        <w:rPr>
          <w:rFonts w:hint="eastAsia" w:ascii="宋体" w:hAnsi="宋体"/>
          <w:sz w:val="24"/>
        </w:rPr>
        <w:t>⑦实验室门禁注册：按实验室配置门禁设备品牌型号信息，设置门禁设备编码、名称、IP、端口等连接信息。支持多款门禁设备，并支持：密码开门、二维码开门、刷卡开门、在线开门等，并支持对已有门禁设备的集成管理。</w:t>
      </w:r>
    </w:p>
    <w:p w14:paraId="729D12A9">
      <w:pPr>
        <w:spacing w:line="360" w:lineRule="auto"/>
        <w:ind w:firstLine="480" w:firstLineChars="200"/>
        <w:contextualSpacing/>
        <w:rPr>
          <w:rFonts w:ascii="宋体" w:hAnsi="宋体"/>
          <w:sz w:val="24"/>
        </w:rPr>
      </w:pPr>
      <w:r>
        <w:rPr>
          <w:rFonts w:hint="eastAsia" w:ascii="宋体" w:hAnsi="宋体"/>
          <w:sz w:val="24"/>
        </w:rPr>
        <w:t>⑧实验室监控配置：按实验室配置视频监控设备信息，并实现与实验室监控设备视频信号集成。系统可与国内一线监控品牌厂商实现监控画面集成。</w:t>
      </w:r>
    </w:p>
    <w:p w14:paraId="34CC45C5">
      <w:pPr>
        <w:spacing w:line="360" w:lineRule="auto"/>
        <w:ind w:firstLine="480" w:firstLineChars="200"/>
        <w:contextualSpacing/>
        <w:rPr>
          <w:rFonts w:ascii="宋体" w:hAnsi="宋体"/>
          <w:sz w:val="24"/>
        </w:rPr>
      </w:pPr>
      <w:r>
        <w:rPr>
          <w:rFonts w:hint="eastAsia" w:ascii="宋体" w:hAnsi="宋体"/>
          <w:sz w:val="24"/>
        </w:rPr>
        <w:t>（4）气体监测</w:t>
      </w:r>
    </w:p>
    <w:p w14:paraId="142DF4FE">
      <w:pPr>
        <w:spacing w:line="360" w:lineRule="auto"/>
        <w:ind w:firstLine="480" w:firstLineChars="200"/>
        <w:contextualSpacing/>
        <w:rPr>
          <w:rFonts w:ascii="宋体" w:hAnsi="宋体"/>
          <w:sz w:val="24"/>
        </w:rPr>
      </w:pPr>
      <w:r>
        <w:rPr>
          <w:rFonts w:hint="eastAsia" w:ascii="宋体" w:hAnsi="宋体"/>
          <w:sz w:val="24"/>
        </w:rPr>
        <w:t>①气体监控大厅：可查看各实验室的气体类监测数据及预警信息。</w:t>
      </w:r>
    </w:p>
    <w:p w14:paraId="15FA2977">
      <w:pPr>
        <w:spacing w:line="360" w:lineRule="auto"/>
        <w:ind w:firstLine="480" w:firstLineChars="200"/>
        <w:contextualSpacing/>
        <w:rPr>
          <w:rFonts w:ascii="宋体" w:hAnsi="宋体"/>
          <w:sz w:val="24"/>
        </w:rPr>
      </w:pPr>
      <w:r>
        <w:rPr>
          <w:rFonts w:hint="eastAsia" w:ascii="宋体" w:hAnsi="宋体"/>
          <w:sz w:val="24"/>
        </w:rPr>
        <w:t>②气体硬件类型：可对使用的不同用途气体监测硬件进行分类管理。</w:t>
      </w:r>
    </w:p>
    <w:p w14:paraId="331294BA">
      <w:pPr>
        <w:spacing w:line="360" w:lineRule="auto"/>
        <w:ind w:firstLine="480" w:firstLineChars="200"/>
        <w:contextualSpacing/>
        <w:rPr>
          <w:rFonts w:ascii="宋体" w:hAnsi="宋体"/>
          <w:sz w:val="24"/>
        </w:rPr>
      </w:pPr>
      <w:r>
        <w:rPr>
          <w:rFonts w:hint="eastAsia" w:ascii="宋体" w:hAnsi="宋体"/>
          <w:sz w:val="24"/>
        </w:rPr>
        <w:t>③气体采集器注册：可对使用的不同用途气体采集硬件进行系统注册与管理。</w:t>
      </w:r>
    </w:p>
    <w:p w14:paraId="36F0ACB0">
      <w:pPr>
        <w:spacing w:line="360" w:lineRule="auto"/>
        <w:ind w:firstLine="480" w:firstLineChars="200"/>
        <w:contextualSpacing/>
        <w:rPr>
          <w:rFonts w:ascii="宋体" w:hAnsi="宋体"/>
          <w:sz w:val="24"/>
        </w:rPr>
      </w:pPr>
      <w:r>
        <w:rPr>
          <w:rFonts w:hint="eastAsia" w:ascii="宋体" w:hAnsi="宋体"/>
          <w:sz w:val="24"/>
        </w:rPr>
        <w:t>④实验室气体设备绑定：可对实验室中安装的气体类监测设备进行在线注册与管理。</w:t>
      </w:r>
    </w:p>
    <w:p w14:paraId="6295141F">
      <w:pPr>
        <w:spacing w:line="360" w:lineRule="auto"/>
        <w:ind w:firstLine="480" w:firstLineChars="200"/>
        <w:contextualSpacing/>
        <w:rPr>
          <w:rFonts w:ascii="宋体" w:hAnsi="宋体"/>
          <w:sz w:val="24"/>
        </w:rPr>
      </w:pPr>
      <w:r>
        <w:rPr>
          <w:rFonts w:hint="eastAsia" w:ascii="宋体" w:hAnsi="宋体"/>
          <w:sz w:val="24"/>
        </w:rPr>
        <w:t>（5）</w:t>
      </w:r>
      <w:r>
        <w:rPr>
          <w:rFonts w:ascii="宋体" w:hAnsi="宋体"/>
          <w:sz w:val="24"/>
        </w:rPr>
        <w:t>运营监控</w:t>
      </w:r>
    </w:p>
    <w:p w14:paraId="4424638B">
      <w:pPr>
        <w:spacing w:line="360" w:lineRule="auto"/>
        <w:ind w:firstLine="480" w:firstLineChars="200"/>
        <w:contextualSpacing/>
        <w:rPr>
          <w:rFonts w:ascii="宋体" w:hAnsi="宋体"/>
          <w:sz w:val="24"/>
        </w:rPr>
      </w:pPr>
      <w:r>
        <w:rPr>
          <w:rFonts w:hint="eastAsia" w:ascii="宋体" w:hAnsi="宋体"/>
          <w:sz w:val="24"/>
        </w:rPr>
        <w:t>①实验</w:t>
      </w:r>
      <w:r>
        <w:rPr>
          <w:rFonts w:ascii="宋体" w:hAnsi="宋体"/>
          <w:sz w:val="24"/>
        </w:rPr>
        <w:t>室运控大厅</w:t>
      </w:r>
      <w:r>
        <w:rPr>
          <w:rFonts w:hint="eastAsia" w:ascii="宋体" w:hAnsi="宋体"/>
          <w:sz w:val="24"/>
        </w:rPr>
        <w:t>：可通过实验室列表进行实验室呈现，并能进入实验室主页进行实验室各类环境监测数据、智能设备、视频监控、门禁等状态查看和在线远程操作。需提供现场演示。</w:t>
      </w:r>
    </w:p>
    <w:p w14:paraId="4A069015">
      <w:pPr>
        <w:spacing w:line="360" w:lineRule="auto"/>
        <w:ind w:firstLine="480" w:firstLineChars="200"/>
        <w:contextualSpacing/>
        <w:rPr>
          <w:rFonts w:ascii="宋体" w:hAnsi="宋体"/>
          <w:sz w:val="24"/>
        </w:rPr>
      </w:pPr>
      <w:r>
        <w:rPr>
          <w:rFonts w:hint="eastAsia" w:ascii="宋体" w:hAnsi="宋体"/>
          <w:sz w:val="24"/>
        </w:rPr>
        <w:t>②</w:t>
      </w:r>
      <w:r>
        <w:rPr>
          <w:rFonts w:ascii="宋体" w:hAnsi="宋体"/>
          <w:sz w:val="24"/>
        </w:rPr>
        <w:t>视频监控大厅</w:t>
      </w:r>
      <w:r>
        <w:rPr>
          <w:rFonts w:hint="eastAsia" w:ascii="宋体" w:hAnsi="宋体"/>
          <w:sz w:val="24"/>
        </w:rPr>
        <w:t>：可查看所有配备监控的实验室列表，并可进入实验室查看实验室所属监控的实时预览画面。</w:t>
      </w:r>
    </w:p>
    <w:p w14:paraId="69CFD858">
      <w:pPr>
        <w:spacing w:line="360" w:lineRule="auto"/>
        <w:ind w:firstLine="480" w:firstLineChars="200"/>
        <w:contextualSpacing/>
        <w:rPr>
          <w:rFonts w:ascii="宋体" w:hAnsi="宋体"/>
          <w:sz w:val="24"/>
        </w:rPr>
      </w:pPr>
      <w:r>
        <w:rPr>
          <w:rFonts w:hint="eastAsia" w:ascii="宋体" w:hAnsi="宋体"/>
          <w:sz w:val="24"/>
        </w:rPr>
        <w:t>③</w:t>
      </w:r>
      <w:r>
        <w:rPr>
          <w:rFonts w:ascii="宋体" w:hAnsi="宋体"/>
          <w:sz w:val="24"/>
        </w:rPr>
        <w:t>班牌运控大厅</w:t>
      </w:r>
      <w:r>
        <w:rPr>
          <w:rFonts w:hint="eastAsia" w:ascii="宋体" w:hAnsi="宋体"/>
          <w:sz w:val="24"/>
        </w:rPr>
        <w:t>：可查看所有配备班牌的实验室列表，并可进入实验室班牌主页查看当前班牌显示画面。需提供现场演示。</w:t>
      </w:r>
    </w:p>
    <w:p w14:paraId="3FCB8D6D">
      <w:pPr>
        <w:spacing w:line="360" w:lineRule="auto"/>
        <w:ind w:firstLine="480" w:firstLineChars="200"/>
        <w:contextualSpacing/>
        <w:rPr>
          <w:rFonts w:ascii="宋体" w:hAnsi="宋体"/>
          <w:sz w:val="24"/>
        </w:rPr>
      </w:pPr>
      <w:r>
        <w:rPr>
          <w:rFonts w:hint="eastAsia" w:ascii="宋体" w:hAnsi="宋体"/>
          <w:sz w:val="24"/>
        </w:rPr>
        <w:t>④</w:t>
      </w:r>
      <w:r>
        <w:rPr>
          <w:rFonts w:ascii="宋体" w:hAnsi="宋体"/>
          <w:sz w:val="24"/>
        </w:rPr>
        <w:t>门禁运控大厅</w:t>
      </w:r>
      <w:r>
        <w:rPr>
          <w:rFonts w:hint="eastAsia" w:ascii="宋体" w:hAnsi="宋体"/>
          <w:sz w:val="24"/>
        </w:rPr>
        <w:t>：可查看所有配备门禁的实验室列表，并可进入实验室班牌主页查看当前门禁在线状态、开/关锁状态，并可远程在线开门。</w:t>
      </w:r>
    </w:p>
    <w:p w14:paraId="6BC87096">
      <w:pPr>
        <w:spacing w:line="360" w:lineRule="auto"/>
        <w:ind w:firstLine="480" w:firstLineChars="200"/>
        <w:contextualSpacing/>
        <w:rPr>
          <w:rFonts w:ascii="宋体" w:hAnsi="宋体"/>
          <w:sz w:val="24"/>
        </w:rPr>
      </w:pPr>
      <w:r>
        <w:rPr>
          <w:rFonts w:hint="eastAsia" w:ascii="宋体" w:hAnsi="宋体"/>
          <w:sz w:val="24"/>
        </w:rPr>
        <w:t>（6）运维管理</w:t>
      </w:r>
    </w:p>
    <w:p w14:paraId="2154335A">
      <w:pPr>
        <w:spacing w:line="360" w:lineRule="auto"/>
        <w:ind w:firstLine="480" w:firstLineChars="200"/>
        <w:contextualSpacing/>
        <w:rPr>
          <w:rFonts w:ascii="宋体" w:hAnsi="宋体"/>
          <w:sz w:val="24"/>
        </w:rPr>
      </w:pPr>
      <w:r>
        <w:rPr>
          <w:rFonts w:hint="eastAsia" w:ascii="宋体" w:hAnsi="宋体"/>
          <w:sz w:val="24"/>
        </w:rPr>
        <w:t>①▲运维计划管理：确保系统的稳定性和可用性、降低安全风险、优化性能等，可制定设备的运维计划。提供功能截图证明。</w:t>
      </w:r>
    </w:p>
    <w:p w14:paraId="0BC6C291">
      <w:pPr>
        <w:spacing w:line="360" w:lineRule="auto"/>
        <w:ind w:firstLine="480" w:firstLineChars="200"/>
        <w:contextualSpacing/>
        <w:rPr>
          <w:rFonts w:ascii="宋体" w:hAnsi="宋体"/>
          <w:sz w:val="24"/>
        </w:rPr>
      </w:pPr>
      <w:r>
        <w:rPr>
          <w:rFonts w:hint="eastAsia" w:ascii="宋体" w:hAnsi="宋体"/>
          <w:sz w:val="24"/>
        </w:rPr>
        <w:t>②运维工单管理：对于运维计划执行过程中，可通过运维工单详细记录运维内容。</w:t>
      </w:r>
    </w:p>
    <w:p w14:paraId="3CC08A67">
      <w:pPr>
        <w:spacing w:line="360" w:lineRule="auto"/>
        <w:ind w:firstLine="480" w:firstLineChars="200"/>
        <w:contextualSpacing/>
        <w:rPr>
          <w:rFonts w:ascii="宋体" w:hAnsi="宋体"/>
          <w:sz w:val="24"/>
        </w:rPr>
      </w:pPr>
      <w:r>
        <w:rPr>
          <w:rFonts w:hint="eastAsia" w:ascii="宋体" w:hAnsi="宋体"/>
          <w:sz w:val="24"/>
        </w:rPr>
        <w:t>③运维台账管理：台账管理，可以有效地跟踪和记录工具的使用情况，方便运维人员掌握工具的库存情况，及时进行工具的维修和更新。</w:t>
      </w:r>
    </w:p>
    <w:p w14:paraId="024BD10D">
      <w:pPr>
        <w:spacing w:line="360" w:lineRule="auto"/>
        <w:ind w:firstLine="480" w:firstLineChars="200"/>
        <w:contextualSpacing/>
        <w:rPr>
          <w:rFonts w:ascii="宋体" w:hAnsi="宋体"/>
          <w:sz w:val="24"/>
        </w:rPr>
      </w:pPr>
      <w:r>
        <w:rPr>
          <w:rFonts w:hint="eastAsia" w:ascii="宋体" w:hAnsi="宋体"/>
          <w:sz w:val="24"/>
        </w:rPr>
        <w:t>平台用户移动端需求：</w:t>
      </w:r>
    </w:p>
    <w:p w14:paraId="058CE1E5">
      <w:pPr>
        <w:spacing w:line="360" w:lineRule="auto"/>
        <w:ind w:firstLine="480" w:firstLineChars="200"/>
        <w:contextualSpacing/>
        <w:rPr>
          <w:rFonts w:ascii="宋体" w:hAnsi="宋体"/>
          <w:sz w:val="24"/>
        </w:rPr>
      </w:pPr>
      <w:r>
        <w:rPr>
          <w:rFonts w:hint="eastAsia" w:ascii="宋体" w:hAnsi="宋体"/>
          <w:sz w:val="24"/>
        </w:rPr>
        <w:t>（1）系统登录：可支持账号密码、手机号短信验证码登录，或通过学校统一身份认证系统进行登录。</w:t>
      </w:r>
    </w:p>
    <w:p w14:paraId="7399CE2F">
      <w:pPr>
        <w:spacing w:line="360" w:lineRule="auto"/>
        <w:ind w:firstLine="480" w:firstLineChars="200"/>
        <w:contextualSpacing/>
        <w:rPr>
          <w:rFonts w:ascii="宋体" w:hAnsi="宋体"/>
          <w:sz w:val="24"/>
        </w:rPr>
      </w:pPr>
      <w:r>
        <w:rPr>
          <w:rFonts w:hint="eastAsia" w:ascii="宋体" w:hAnsi="宋体" w:cs="宋体"/>
          <w:sz w:val="24"/>
        </w:rPr>
        <w:t>（2）★</w:t>
      </w:r>
      <w:r>
        <w:rPr>
          <w:rFonts w:hint="eastAsia" w:ascii="宋体" w:hAnsi="宋体"/>
          <w:sz w:val="24"/>
        </w:rPr>
        <w:t>在线开门或二维码开门：可通过已预约记录生成动态开门二维码，使用智能门禁设备扫描手机移动端二维码进行开门，同时支持：刷校园卡方式开门。</w:t>
      </w:r>
    </w:p>
    <w:p w14:paraId="22C3FC73">
      <w:pPr>
        <w:spacing w:line="360" w:lineRule="auto"/>
        <w:ind w:firstLine="480" w:firstLineChars="200"/>
        <w:contextualSpacing/>
        <w:rPr>
          <w:rFonts w:ascii="宋体" w:hAnsi="宋体"/>
          <w:sz w:val="24"/>
        </w:rPr>
      </w:pPr>
      <w:r>
        <w:rPr>
          <w:rFonts w:hint="eastAsia" w:ascii="宋体" w:hAnsi="宋体"/>
          <w:sz w:val="24"/>
        </w:rPr>
        <w:t>管理人员远程管理移动端：APP/H5版</w:t>
      </w:r>
    </w:p>
    <w:p w14:paraId="6988FB28">
      <w:pPr>
        <w:spacing w:line="360" w:lineRule="auto"/>
        <w:ind w:firstLine="480" w:firstLineChars="200"/>
        <w:contextualSpacing/>
        <w:rPr>
          <w:rFonts w:ascii="宋体" w:hAnsi="宋体"/>
          <w:sz w:val="24"/>
        </w:rPr>
      </w:pPr>
      <w:r>
        <w:rPr>
          <w:rFonts w:hint="eastAsia" w:ascii="宋体" w:hAnsi="宋体"/>
          <w:sz w:val="24"/>
        </w:rPr>
        <w:t>实验室管理移动端（APP/H5版）向实验室管理员提供在线远程管理工具。</w:t>
      </w:r>
    </w:p>
    <w:p w14:paraId="5A69CE66">
      <w:pPr>
        <w:spacing w:line="360" w:lineRule="auto"/>
        <w:ind w:firstLine="480" w:firstLineChars="200"/>
        <w:contextualSpacing/>
        <w:rPr>
          <w:rFonts w:ascii="宋体" w:hAnsi="宋体"/>
          <w:sz w:val="24"/>
        </w:rPr>
      </w:pPr>
      <w:r>
        <w:rPr>
          <w:rFonts w:hint="eastAsia" w:ascii="宋体" w:hAnsi="宋体"/>
          <w:sz w:val="24"/>
        </w:rPr>
        <w:t>（1）▲实验室门禁管理：门禁管理，支持通过移动端端操作，在线查看门禁开启状态，执行远程开门操作。提供功能截图证明。</w:t>
      </w:r>
    </w:p>
    <w:p w14:paraId="745EC330">
      <w:pPr>
        <w:spacing w:line="360" w:lineRule="auto"/>
        <w:ind w:firstLine="480" w:firstLineChars="200"/>
        <w:contextualSpacing/>
        <w:rPr>
          <w:rFonts w:ascii="宋体" w:hAnsi="宋体"/>
          <w:sz w:val="24"/>
        </w:rPr>
      </w:pPr>
      <w:r>
        <w:rPr>
          <w:rFonts w:hint="eastAsia" w:ascii="宋体" w:hAnsi="宋体"/>
          <w:sz w:val="24"/>
        </w:rPr>
        <w:t>（2）实验室监控查看：支持视频监控查看，并支持对接监控设备，对实验室进行远程视频监控。</w:t>
      </w:r>
    </w:p>
    <w:p w14:paraId="20A4CAC7">
      <w:pPr>
        <w:spacing w:line="360" w:lineRule="auto"/>
        <w:ind w:firstLine="480" w:firstLineChars="200"/>
        <w:contextualSpacing/>
        <w:rPr>
          <w:rFonts w:ascii="宋体" w:hAnsi="宋体"/>
          <w:sz w:val="24"/>
        </w:rPr>
      </w:pPr>
      <w:r>
        <w:rPr>
          <w:rFonts w:hint="eastAsia" w:ascii="宋体" w:hAnsi="宋体"/>
          <w:sz w:val="24"/>
        </w:rPr>
        <w:t>（3）系统登录：可支持账号密码、手机号短信验证码登录，或通过学校统一身份认证系统进行登录。</w:t>
      </w:r>
    </w:p>
    <w:p w14:paraId="468231C2">
      <w:pPr>
        <w:spacing w:line="360" w:lineRule="auto"/>
        <w:ind w:firstLine="480" w:firstLineChars="200"/>
        <w:contextualSpacing/>
        <w:rPr>
          <w:rFonts w:ascii="宋体" w:hAnsi="宋体"/>
          <w:sz w:val="24"/>
        </w:rPr>
      </w:pPr>
      <w:r>
        <w:rPr>
          <w:rFonts w:hint="eastAsia" w:ascii="宋体" w:hAnsi="宋体"/>
          <w:sz w:val="24"/>
        </w:rPr>
        <w:t>智能班牌终端应用</w:t>
      </w:r>
    </w:p>
    <w:p w14:paraId="661C04D1">
      <w:pPr>
        <w:spacing w:line="360" w:lineRule="auto"/>
        <w:ind w:firstLine="480" w:firstLineChars="200"/>
        <w:contextualSpacing/>
        <w:rPr>
          <w:rFonts w:ascii="宋体" w:hAnsi="宋体"/>
          <w:sz w:val="24"/>
        </w:rPr>
      </w:pPr>
      <w:r>
        <w:rPr>
          <w:rFonts w:hint="eastAsia" w:ascii="宋体" w:hAnsi="宋体"/>
          <w:sz w:val="24"/>
        </w:rPr>
        <w:t>（1）▲开门方式：终端应用支持刷卡、密码、人脸、远程指令、定时开门等多种方式进行管理及查询；提供功能截图证明。</w:t>
      </w:r>
    </w:p>
    <w:p w14:paraId="4A7A0E58">
      <w:pPr>
        <w:spacing w:line="360" w:lineRule="auto"/>
        <w:ind w:firstLine="480" w:firstLineChars="200"/>
        <w:contextualSpacing/>
        <w:rPr>
          <w:rFonts w:ascii="宋体" w:hAnsi="宋体"/>
          <w:sz w:val="24"/>
        </w:rPr>
      </w:pPr>
      <w:r>
        <w:rPr>
          <w:rFonts w:hint="eastAsia" w:ascii="宋体" w:hAnsi="宋体"/>
          <w:sz w:val="24"/>
        </w:rPr>
        <w:t>（2）门牌信息显示：终端支持显示学校、logo、校区、教学楼、实验室，日期、时间、周次、天气情况、设备在线等门牌信息；</w:t>
      </w:r>
    </w:p>
    <w:p w14:paraId="5E22E550">
      <w:pPr>
        <w:spacing w:line="360" w:lineRule="auto"/>
        <w:ind w:firstLine="480" w:firstLineChars="200"/>
        <w:contextualSpacing/>
        <w:rPr>
          <w:rFonts w:ascii="宋体" w:hAnsi="宋体"/>
          <w:sz w:val="24"/>
        </w:rPr>
      </w:pPr>
      <w:r>
        <w:rPr>
          <w:rFonts w:hint="eastAsia" w:ascii="宋体" w:hAnsi="宋体"/>
          <w:sz w:val="24"/>
        </w:rPr>
        <w:t>（3）播放模式：终端可以显示文字、视频等内容，信息发布时可设置媒体播放模式，包括：关闭、空闲自动播放、指定时段定时播放、全屏播放（终端可以使用全屏模式）、即时播放（紧急推送）、滚动字幕（终端可以在底部推送滚动字幕，可设置颜色、速度等）。</w:t>
      </w:r>
    </w:p>
    <w:p w14:paraId="4A796054">
      <w:pPr>
        <w:spacing w:line="360" w:lineRule="auto"/>
        <w:ind w:firstLine="480" w:firstLineChars="200"/>
        <w:contextualSpacing/>
        <w:rPr>
          <w:rFonts w:ascii="宋体" w:hAnsi="宋体"/>
          <w:sz w:val="24"/>
        </w:rPr>
      </w:pPr>
      <w:r>
        <w:rPr>
          <w:rFonts w:hint="eastAsia" w:ascii="宋体" w:hAnsi="宋体"/>
          <w:sz w:val="24"/>
        </w:rPr>
        <w:t>（4）运维服务</w:t>
      </w:r>
    </w:p>
    <w:p w14:paraId="498020AD">
      <w:pPr>
        <w:spacing w:line="360" w:lineRule="auto"/>
        <w:ind w:firstLine="480" w:firstLineChars="200"/>
        <w:contextualSpacing/>
        <w:rPr>
          <w:rFonts w:ascii="宋体" w:hAnsi="宋体"/>
          <w:sz w:val="24"/>
        </w:rPr>
      </w:pPr>
      <w:r>
        <w:rPr>
          <w:rFonts w:hint="eastAsia" w:ascii="宋体" w:hAnsi="宋体"/>
          <w:sz w:val="24"/>
        </w:rPr>
        <w:t>①支持发起服务跟踪，设置设备维修时间，查询维修记录及空间设备运维状态。</w:t>
      </w:r>
    </w:p>
    <w:p w14:paraId="5347939B">
      <w:pPr>
        <w:spacing w:line="360" w:lineRule="auto"/>
        <w:ind w:firstLine="480" w:firstLineChars="200"/>
        <w:contextualSpacing/>
        <w:rPr>
          <w:rFonts w:ascii="宋体" w:hAnsi="宋体"/>
          <w:sz w:val="24"/>
        </w:rPr>
      </w:pPr>
      <w:r>
        <w:rPr>
          <w:rFonts w:hint="eastAsia" w:ascii="宋体" w:hAnsi="宋体"/>
          <w:sz w:val="24"/>
        </w:rPr>
        <w:t>②可视化图表展示当前空间服务状态占比，并可通过后台自定义添加任意服务项目，没有数量和内容的限制；可设定服务完成时间，并可根据设定时间显示详细的完成状态；</w:t>
      </w:r>
    </w:p>
    <w:p w14:paraId="52B08850">
      <w:pPr>
        <w:spacing w:line="360" w:lineRule="auto"/>
        <w:ind w:firstLine="480" w:firstLineChars="200"/>
        <w:contextualSpacing/>
        <w:rPr>
          <w:rFonts w:ascii="宋体" w:hAnsi="宋体"/>
          <w:sz w:val="24"/>
        </w:rPr>
      </w:pPr>
      <w:r>
        <w:rPr>
          <w:rFonts w:hint="eastAsia" w:ascii="宋体" w:hAnsi="宋体"/>
          <w:sz w:val="24"/>
        </w:rPr>
        <w:t>③支持视频语音通话功能，可实现班牌终端与管理平台间进行双向视频通话。提供现场演示</w:t>
      </w:r>
    </w:p>
    <w:p w14:paraId="622EB137">
      <w:pPr>
        <w:spacing w:line="360" w:lineRule="auto"/>
        <w:ind w:firstLine="480" w:firstLineChars="200"/>
        <w:contextualSpacing/>
        <w:rPr>
          <w:rFonts w:ascii="宋体" w:hAnsi="宋体"/>
          <w:sz w:val="24"/>
        </w:rPr>
      </w:pPr>
      <w:r>
        <w:rPr>
          <w:rFonts w:ascii="宋体" w:hAnsi="宋体"/>
          <w:sz w:val="24"/>
        </w:rPr>
        <w:t>电子班牌后端程序</w:t>
      </w:r>
    </w:p>
    <w:p w14:paraId="407DB331">
      <w:pPr>
        <w:spacing w:line="360" w:lineRule="auto"/>
        <w:ind w:firstLine="480" w:firstLineChars="200"/>
        <w:contextualSpacing/>
        <w:rPr>
          <w:rFonts w:ascii="宋体" w:hAnsi="宋体"/>
          <w:sz w:val="24"/>
        </w:rPr>
      </w:pPr>
      <w:r>
        <w:rPr>
          <w:rFonts w:hint="eastAsia" w:ascii="宋体" w:hAnsi="宋体"/>
          <w:sz w:val="24"/>
        </w:rPr>
        <w:t>（1）</w:t>
      </w:r>
      <w:r>
        <w:rPr>
          <w:rFonts w:hint="eastAsia" w:ascii="宋体" w:hAnsi="宋体" w:cs="宋体"/>
          <w:b/>
          <w:bCs/>
          <w:sz w:val="24"/>
        </w:rPr>
        <w:t>★</w:t>
      </w:r>
      <w:r>
        <w:rPr>
          <w:rFonts w:hint="eastAsia" w:ascii="宋体" w:hAnsi="宋体"/>
          <w:sz w:val="24"/>
        </w:rPr>
        <w:t>支持服务器本地部署；</w:t>
      </w:r>
    </w:p>
    <w:p w14:paraId="123BD529">
      <w:pPr>
        <w:spacing w:line="360" w:lineRule="auto"/>
        <w:ind w:firstLine="480" w:firstLineChars="200"/>
        <w:contextualSpacing/>
        <w:rPr>
          <w:rFonts w:ascii="宋体" w:hAnsi="宋体"/>
          <w:sz w:val="24"/>
        </w:rPr>
      </w:pPr>
      <w:r>
        <w:rPr>
          <w:rFonts w:hint="eastAsia" w:ascii="宋体" w:hAnsi="宋体"/>
          <w:sz w:val="24"/>
        </w:rPr>
        <w:t>（2）系统操作员可通过Web浏览器登录管理平台完成所有操作，不同操作员可授予不同操作权限和管理范围；支持对多种信息发布终端的集中同平台管理控制，节目同时可以发布给不同的终端，无需针对不同的终端进行特定制作；并支持对多种信息发布终端显示内容进行统一管理；</w:t>
      </w:r>
    </w:p>
    <w:p w14:paraId="53B67E47">
      <w:pPr>
        <w:spacing w:line="360" w:lineRule="auto"/>
        <w:ind w:firstLine="480" w:firstLineChars="200"/>
        <w:contextualSpacing/>
        <w:rPr>
          <w:rFonts w:ascii="宋体" w:hAnsi="宋体"/>
          <w:sz w:val="24"/>
        </w:rPr>
      </w:pPr>
      <w:r>
        <w:rPr>
          <w:rFonts w:hint="eastAsia" w:ascii="宋体" w:hAnsi="宋体"/>
          <w:sz w:val="24"/>
        </w:rPr>
        <w:t>（3）支持用户帐号的统一管理，用户身份的认证，单点登录、单点登出功能、支持用户链接超时自动退出、支持扫码登录、支持平台用户与应用系统用户相关联；</w:t>
      </w:r>
    </w:p>
    <w:p w14:paraId="42D37813">
      <w:pPr>
        <w:spacing w:line="360" w:lineRule="auto"/>
        <w:ind w:firstLine="480" w:firstLineChars="200"/>
        <w:contextualSpacing/>
        <w:rPr>
          <w:rFonts w:ascii="宋体" w:hAnsi="宋体"/>
          <w:sz w:val="24"/>
        </w:rPr>
      </w:pPr>
      <w:r>
        <w:rPr>
          <w:rFonts w:hint="eastAsia" w:ascii="宋体" w:hAnsi="宋体"/>
          <w:sz w:val="24"/>
        </w:rPr>
        <w:t>（4）系统基础设置：支持设置不同级别管理角色添加、编辑、权限修改、删除等操作，来决定管理员所能行使的权限，包括：对智能班牌管理系统各功能名称、显示顺序、模块图标等；支持用户权限管理，编辑、添加、删除的权限；</w:t>
      </w:r>
    </w:p>
    <w:p w14:paraId="1C939D6F">
      <w:pPr>
        <w:spacing w:line="360" w:lineRule="auto"/>
        <w:ind w:firstLine="480" w:firstLineChars="200"/>
        <w:contextualSpacing/>
        <w:rPr>
          <w:rFonts w:ascii="宋体" w:hAnsi="宋体"/>
          <w:sz w:val="24"/>
        </w:rPr>
      </w:pPr>
      <w:r>
        <w:rPr>
          <w:rFonts w:hint="eastAsia" w:ascii="宋体" w:hAnsi="宋体"/>
          <w:sz w:val="24"/>
        </w:rPr>
        <w:t>（5）权限管理：实现账号及账号权限的管理，支持自定义各种业务角色，并可为角色指定平台各个子系统的权限。支持为不同用户绑定不同角色；支持对角色进行管理，包括新增、修改、删除、启用、停用和指派等；</w:t>
      </w:r>
    </w:p>
    <w:p w14:paraId="30CC268E">
      <w:pPr>
        <w:spacing w:line="360" w:lineRule="auto"/>
        <w:ind w:firstLine="480" w:firstLineChars="200"/>
        <w:contextualSpacing/>
        <w:rPr>
          <w:rFonts w:ascii="宋体" w:hAnsi="宋体"/>
          <w:sz w:val="24"/>
        </w:rPr>
      </w:pPr>
      <w:r>
        <w:rPr>
          <w:rFonts w:hint="eastAsia" w:ascii="宋体" w:hAnsi="宋体"/>
          <w:sz w:val="24"/>
        </w:rPr>
        <w:t>（6）班牌显示内容自定义：通过低代码组件方式配置班牌终端应用系统中的页面数量、导航菜单、快捷菜单、菜单名称与图标、各菜单功能页面的内容。可实现：</w:t>
      </w:r>
    </w:p>
    <w:p w14:paraId="1BCBB4E0">
      <w:pPr>
        <w:spacing w:line="360" w:lineRule="auto"/>
        <w:ind w:firstLine="480" w:firstLineChars="200"/>
        <w:contextualSpacing/>
        <w:rPr>
          <w:rFonts w:ascii="宋体" w:hAnsi="宋体"/>
          <w:sz w:val="24"/>
        </w:rPr>
      </w:pPr>
      <w:r>
        <w:rPr>
          <w:rFonts w:hint="eastAsia" w:ascii="宋体" w:hAnsi="宋体"/>
          <w:sz w:val="24"/>
        </w:rPr>
        <w:t>①页面数量定义：可自定义配置班牌端应用的显示页面数量；</w:t>
      </w:r>
    </w:p>
    <w:p w14:paraId="0D5FFE3E">
      <w:pPr>
        <w:spacing w:line="360" w:lineRule="auto"/>
        <w:ind w:firstLine="480" w:firstLineChars="200"/>
        <w:contextualSpacing/>
        <w:rPr>
          <w:rFonts w:ascii="宋体" w:hAnsi="宋体"/>
          <w:sz w:val="24"/>
        </w:rPr>
      </w:pPr>
      <w:r>
        <w:rPr>
          <w:rFonts w:hint="eastAsia" w:ascii="宋体" w:hAnsi="宋体"/>
          <w:sz w:val="24"/>
        </w:rPr>
        <w:t>②▲页面内容定义：可自定义配置各页面内容及布局样式，通过拖拽方式实现页面各部分的显示内容。提供功能截图证明。</w:t>
      </w:r>
    </w:p>
    <w:p w14:paraId="5E6A4AB8">
      <w:pPr>
        <w:spacing w:line="360" w:lineRule="auto"/>
        <w:ind w:firstLine="480" w:firstLineChars="200"/>
        <w:contextualSpacing/>
        <w:rPr>
          <w:rFonts w:ascii="宋体" w:hAnsi="宋体"/>
          <w:sz w:val="24"/>
        </w:rPr>
      </w:pPr>
      <w:r>
        <w:rPr>
          <w:rFonts w:hint="eastAsia" w:ascii="宋体" w:hAnsi="宋体"/>
          <w:sz w:val="24"/>
        </w:rPr>
        <w:t>③系统预置数字时钟、天气预报、课表、新闻、预约状态查询等标准组件；需提供现场演示。</w:t>
      </w:r>
    </w:p>
    <w:p w14:paraId="0C537C65">
      <w:pPr>
        <w:spacing w:line="360" w:lineRule="auto"/>
        <w:ind w:firstLine="480" w:firstLineChars="200"/>
        <w:contextualSpacing/>
        <w:rPr>
          <w:rFonts w:ascii="宋体" w:hAnsi="宋体"/>
          <w:sz w:val="24"/>
        </w:rPr>
      </w:pPr>
      <w:r>
        <w:rPr>
          <w:rFonts w:hint="eastAsia" w:ascii="宋体" w:hAnsi="宋体"/>
          <w:sz w:val="24"/>
        </w:rPr>
        <w:t>④可设置闲时页面：可自定义班牌终端应用在无人接触交互时，系统自动切换到指定的班牌页面进行显示。当有用户触摸产生交互时，自动取消闲时页面的展示。需提供现场演示。</w:t>
      </w:r>
    </w:p>
    <w:p w14:paraId="1A8BB70B">
      <w:pPr>
        <w:spacing w:line="360" w:lineRule="auto"/>
        <w:ind w:firstLine="480" w:firstLineChars="200"/>
        <w:contextualSpacing/>
        <w:rPr>
          <w:rFonts w:ascii="宋体" w:hAnsi="宋体"/>
          <w:sz w:val="24"/>
        </w:rPr>
      </w:pPr>
      <w:r>
        <w:rPr>
          <w:rFonts w:hint="eastAsia" w:ascii="宋体" w:hAnsi="宋体"/>
          <w:sz w:val="24"/>
        </w:rPr>
        <w:t>⑤▲导航菜单自定义，可实现班牌端应用的导航菜单名称、菜单图标、菜单与功能的关联、在屏幕上的显示位置完全自定义。提供功能截图证明。</w:t>
      </w:r>
    </w:p>
    <w:p w14:paraId="0526C2E1">
      <w:pPr>
        <w:spacing w:line="360" w:lineRule="auto"/>
        <w:ind w:firstLine="480" w:firstLineChars="200"/>
        <w:contextualSpacing/>
        <w:rPr>
          <w:rFonts w:ascii="宋体" w:hAnsi="宋体"/>
          <w:sz w:val="24"/>
        </w:rPr>
      </w:pPr>
      <w:r>
        <w:rPr>
          <w:rFonts w:hint="eastAsia" w:ascii="宋体" w:hAnsi="宋体"/>
          <w:sz w:val="24"/>
        </w:rPr>
        <w:t>⑥快捷菜单自定义，可实现班牌端应用的快捷菜单名称、菜单图标、菜单与功能的关联完全自定义。</w:t>
      </w:r>
    </w:p>
    <w:p w14:paraId="0B0A9101">
      <w:pPr>
        <w:spacing w:line="360" w:lineRule="auto"/>
        <w:ind w:firstLine="480" w:firstLineChars="200"/>
        <w:contextualSpacing/>
        <w:rPr>
          <w:rFonts w:ascii="宋体" w:hAnsi="宋体"/>
          <w:sz w:val="24"/>
        </w:rPr>
      </w:pPr>
      <w:r>
        <w:rPr>
          <w:rFonts w:hint="eastAsia" w:ascii="宋体" w:hAnsi="宋体"/>
          <w:sz w:val="24"/>
        </w:rPr>
        <w:t>（7）信息发布管理</w:t>
      </w:r>
    </w:p>
    <w:p w14:paraId="7D7D855A">
      <w:pPr>
        <w:spacing w:line="360" w:lineRule="auto"/>
        <w:ind w:firstLine="480" w:firstLineChars="200"/>
        <w:contextualSpacing/>
        <w:rPr>
          <w:rFonts w:ascii="宋体" w:hAnsi="宋体"/>
          <w:sz w:val="24"/>
        </w:rPr>
      </w:pPr>
      <w:r>
        <w:rPr>
          <w:rFonts w:hint="eastAsia" w:ascii="宋体" w:hAnsi="宋体"/>
          <w:sz w:val="24"/>
        </w:rPr>
        <w:t>①实现教研员、授课老师信息、学生信息、班级目标、班训、班级口号等个性化信息配置；</w:t>
      </w:r>
    </w:p>
    <w:p w14:paraId="338EE83D">
      <w:pPr>
        <w:spacing w:line="360" w:lineRule="auto"/>
        <w:ind w:firstLine="480" w:firstLineChars="200"/>
        <w:contextualSpacing/>
        <w:rPr>
          <w:rFonts w:ascii="宋体" w:hAnsi="宋体"/>
          <w:sz w:val="24"/>
        </w:rPr>
      </w:pPr>
      <w:r>
        <w:rPr>
          <w:rFonts w:hint="eastAsia" w:ascii="宋体" w:hAnsi="宋体"/>
          <w:sz w:val="24"/>
        </w:rPr>
        <w:t>②校园通知：实现校园通知发布；</w:t>
      </w:r>
    </w:p>
    <w:p w14:paraId="39FCAE8A">
      <w:pPr>
        <w:spacing w:line="360" w:lineRule="auto"/>
        <w:ind w:firstLine="480" w:firstLineChars="200"/>
        <w:contextualSpacing/>
        <w:rPr>
          <w:rFonts w:ascii="宋体" w:hAnsi="宋体"/>
          <w:sz w:val="24"/>
        </w:rPr>
      </w:pPr>
      <w:r>
        <w:rPr>
          <w:rFonts w:hint="eastAsia" w:ascii="宋体" w:hAnsi="宋体"/>
          <w:sz w:val="24"/>
        </w:rPr>
        <w:t>③宣传图册：实现宣传图册管理与发布。班级相册：实现教研作品、班级活动、学生荣誉等各类照片的管理；</w:t>
      </w:r>
    </w:p>
    <w:p w14:paraId="7820081D">
      <w:pPr>
        <w:spacing w:line="360" w:lineRule="auto"/>
        <w:ind w:firstLine="480" w:firstLineChars="200"/>
        <w:contextualSpacing/>
        <w:rPr>
          <w:rFonts w:ascii="宋体" w:hAnsi="宋体"/>
          <w:sz w:val="24"/>
        </w:rPr>
      </w:pPr>
      <w:r>
        <w:rPr>
          <w:rFonts w:hint="eastAsia" w:ascii="宋体" w:hAnsi="宋体"/>
          <w:sz w:val="24"/>
        </w:rPr>
        <w:t>④宣传视频：实现宣传视频管理与发布；</w:t>
      </w:r>
    </w:p>
    <w:p w14:paraId="7CE7AFCD">
      <w:pPr>
        <w:spacing w:line="360" w:lineRule="auto"/>
        <w:ind w:firstLine="480" w:firstLineChars="200"/>
        <w:contextualSpacing/>
        <w:rPr>
          <w:rFonts w:ascii="宋体" w:hAnsi="宋体"/>
          <w:sz w:val="24"/>
        </w:rPr>
      </w:pPr>
      <w:r>
        <w:rPr>
          <w:rFonts w:hint="eastAsia" w:ascii="宋体" w:hAnsi="宋体"/>
          <w:sz w:val="24"/>
        </w:rPr>
        <w:t>⑤迎宾标语：实现迎宾标语发布，迎宾标语拥有最高显示优先级；</w:t>
      </w:r>
    </w:p>
    <w:p w14:paraId="05AE6D5E">
      <w:pPr>
        <w:spacing w:line="360" w:lineRule="auto"/>
        <w:ind w:firstLine="480" w:firstLineChars="200"/>
        <w:contextualSpacing/>
        <w:rPr>
          <w:rFonts w:ascii="宋体" w:hAnsi="宋体"/>
          <w:sz w:val="24"/>
        </w:rPr>
      </w:pPr>
      <w:r>
        <w:rPr>
          <w:rFonts w:hint="eastAsia" w:ascii="宋体" w:hAnsi="宋体"/>
          <w:sz w:val="24"/>
        </w:rPr>
        <w:t>⑥▲实现校园动态发布；支持多张图片循环播放，可自定义图片播放间隔时间，支持图片特效播放，包括：随机、旋转、渐入、渐变、放大、斜入等；提供功能截图证明。</w:t>
      </w:r>
    </w:p>
    <w:p w14:paraId="39ABE1A0">
      <w:pPr>
        <w:spacing w:line="360" w:lineRule="auto"/>
        <w:ind w:firstLine="480" w:firstLineChars="200"/>
        <w:contextualSpacing/>
        <w:rPr>
          <w:rFonts w:ascii="宋体" w:hAnsi="宋体"/>
          <w:sz w:val="24"/>
        </w:rPr>
      </w:pPr>
      <w:r>
        <w:rPr>
          <w:rFonts w:hint="eastAsia" w:ascii="宋体" w:hAnsi="宋体"/>
          <w:sz w:val="24"/>
        </w:rPr>
        <w:t>⑦视频发布：支持多种节目播放方式：立即播放、插播播放、轮播播放、按时间播放等；支持插播计划、轮播计划，可设置任意起止时间内，每天、每周几，某个时间段，播放某个节目；支持在某个时间段内，对播放内容播放节目的设置、调节；</w:t>
      </w:r>
    </w:p>
    <w:p w14:paraId="15EA078B">
      <w:pPr>
        <w:spacing w:line="360" w:lineRule="auto"/>
        <w:ind w:firstLine="480" w:firstLineChars="200"/>
        <w:contextualSpacing/>
        <w:rPr>
          <w:rFonts w:ascii="宋体" w:hAnsi="宋体"/>
          <w:sz w:val="24"/>
        </w:rPr>
      </w:pPr>
      <w:r>
        <w:rPr>
          <w:rFonts w:hint="eastAsia" w:ascii="宋体" w:hAnsi="宋体"/>
          <w:sz w:val="24"/>
        </w:rPr>
        <w:t>⑧▲系统支持四分屏以上的分屏效果，支持节目中添加字幕，字幕支持静态、滚动等多种方式播放；显示区域可以根据用户需求任意拖拽划分布局，布局各区域均可独立设置播放列表；提供功能截图证明。</w:t>
      </w:r>
    </w:p>
    <w:p w14:paraId="5B10D5B4">
      <w:pPr>
        <w:spacing w:line="360" w:lineRule="auto"/>
        <w:ind w:firstLine="480" w:firstLineChars="200"/>
        <w:contextualSpacing/>
        <w:rPr>
          <w:rFonts w:ascii="宋体" w:hAnsi="宋体"/>
          <w:sz w:val="24"/>
        </w:rPr>
      </w:pPr>
      <w:r>
        <w:rPr>
          <w:rFonts w:hint="eastAsia" w:ascii="宋体" w:hAnsi="宋体"/>
          <w:sz w:val="24"/>
        </w:rPr>
        <w:t>（8）▲终端远程管理：实时监控远程终端状态和播放内容；支持终端定时开关机、远程重启等操作；开机自动播放计划节目；支持远程实时查看，以及远程操作维护；支持远程查看终端信息，IP、MAC地址、链接时间、内存使用情况、终端版本号、终端音量大小、开关机时间、播放节目单等信息；支持远程对终端进行休眠、唤醒、重启、设置定时开关机、取消定时开关机功能；支持远程对终端参数设置，远程系统升级、远程设置终端音量大小、远程同步校准时间、导出日志；提供功能截图证明。</w:t>
      </w:r>
    </w:p>
    <w:p w14:paraId="126CC794">
      <w:pPr>
        <w:spacing w:line="360" w:lineRule="auto"/>
        <w:ind w:firstLine="480" w:firstLineChars="200"/>
        <w:contextualSpacing/>
        <w:rPr>
          <w:rFonts w:ascii="宋体" w:hAnsi="宋体"/>
          <w:sz w:val="24"/>
        </w:rPr>
      </w:pPr>
      <w:r>
        <w:rPr>
          <w:rFonts w:hint="eastAsia" w:ascii="宋体" w:hAnsi="宋体"/>
          <w:sz w:val="24"/>
        </w:rPr>
        <w:t>（9）预警功能：可设置根据环境监测数据、时间点、使用状态等作为起始条件，自动向实验室管理人员发起消息预警、语音预警或电话预警。并可以自定义应急预警消息内容。</w:t>
      </w:r>
    </w:p>
    <w:p w14:paraId="6C98D5A8">
      <w:pPr>
        <w:spacing w:line="360" w:lineRule="auto"/>
        <w:ind w:firstLine="482" w:firstLineChars="200"/>
        <w:contextualSpacing/>
        <w:rPr>
          <w:rFonts w:ascii="宋体" w:hAnsi="宋体"/>
          <w:b/>
          <w:bCs/>
          <w:sz w:val="24"/>
        </w:rPr>
      </w:pPr>
      <w:r>
        <w:rPr>
          <w:rFonts w:hint="eastAsia" w:ascii="宋体" w:hAnsi="宋体"/>
          <w:b/>
          <w:bCs/>
          <w:sz w:val="24"/>
        </w:rPr>
        <w:t>2.实验室安全准入：与学校现有一卡通系统对接、与学校现有教务系统对接、与学校现有</w:t>
      </w:r>
      <w:bookmarkStart w:id="0" w:name="_Hlk182497544"/>
      <w:r>
        <w:rPr>
          <w:rFonts w:hint="eastAsia" w:ascii="宋体" w:hAnsi="宋体"/>
          <w:b/>
          <w:bCs/>
          <w:sz w:val="24"/>
        </w:rPr>
        <w:t>实验室安全教育学习平台</w:t>
      </w:r>
      <w:bookmarkEnd w:id="0"/>
      <w:r>
        <w:rPr>
          <w:rFonts w:hint="eastAsia" w:ascii="宋体" w:hAnsi="宋体"/>
          <w:b/>
          <w:bCs/>
          <w:sz w:val="24"/>
        </w:rPr>
        <w:t>进行数据对接，实现实验人员的安全准入资格获取。</w:t>
      </w:r>
    </w:p>
    <w:p w14:paraId="721F0EF8">
      <w:pPr>
        <w:spacing w:line="360" w:lineRule="auto"/>
        <w:ind w:firstLine="482" w:firstLineChars="200"/>
        <w:contextualSpacing/>
        <w:rPr>
          <w:rFonts w:ascii="宋体" w:hAnsi="宋体"/>
          <w:b/>
          <w:bCs/>
          <w:sz w:val="24"/>
        </w:rPr>
      </w:pPr>
      <w:r>
        <w:rPr>
          <w:rFonts w:hint="eastAsia" w:ascii="宋体" w:hAnsi="宋体"/>
          <w:b/>
          <w:bCs/>
          <w:sz w:val="24"/>
        </w:rPr>
        <w:t>开放集成系统1套，需求如下：</w:t>
      </w:r>
    </w:p>
    <w:p w14:paraId="2D339BCE">
      <w:pPr>
        <w:spacing w:line="360" w:lineRule="auto"/>
        <w:ind w:firstLine="480" w:firstLineChars="200"/>
        <w:contextualSpacing/>
        <w:rPr>
          <w:rFonts w:ascii="宋体" w:hAnsi="宋体"/>
          <w:sz w:val="24"/>
        </w:rPr>
      </w:pPr>
      <w:r>
        <w:rPr>
          <w:rFonts w:hint="eastAsia" w:ascii="宋体" w:hAnsi="宋体"/>
          <w:sz w:val="24"/>
        </w:rPr>
        <w:t>系统需要支持与学校统一身份认证系统登录即可实现身份认证效果。可实现对现在设备资源的集成。</w:t>
      </w:r>
    </w:p>
    <w:p w14:paraId="65399F36">
      <w:pPr>
        <w:spacing w:line="360" w:lineRule="auto"/>
        <w:ind w:firstLine="480" w:firstLineChars="200"/>
        <w:contextualSpacing/>
        <w:rPr>
          <w:rFonts w:ascii="宋体" w:hAnsi="宋体"/>
          <w:sz w:val="24"/>
        </w:rPr>
      </w:pPr>
      <w:r>
        <w:rPr>
          <w:rFonts w:hint="eastAsia" w:ascii="宋体" w:hAnsi="宋体"/>
          <w:sz w:val="24"/>
        </w:rPr>
        <w:t>（1）</w:t>
      </w:r>
      <w:r>
        <w:rPr>
          <w:rFonts w:hint="eastAsia" w:ascii="宋体" w:hAnsi="宋体" w:cs="宋体"/>
          <w:sz w:val="24"/>
        </w:rPr>
        <w:t>与学校现有一卡通系统对接，获取各老师、学生校园卡信息等；</w:t>
      </w:r>
    </w:p>
    <w:p w14:paraId="2EAA653B">
      <w:pPr>
        <w:spacing w:line="360" w:lineRule="auto"/>
        <w:ind w:firstLine="480" w:firstLineChars="200"/>
        <w:contextualSpacing/>
        <w:rPr>
          <w:rFonts w:ascii="宋体" w:hAnsi="宋体"/>
          <w:sz w:val="24"/>
        </w:rPr>
      </w:pPr>
      <w:r>
        <w:rPr>
          <w:rFonts w:hint="eastAsia" w:ascii="宋体" w:hAnsi="宋体"/>
          <w:sz w:val="24"/>
        </w:rPr>
        <w:t>（2）</w:t>
      </w:r>
      <w:r>
        <w:rPr>
          <w:rFonts w:hint="eastAsia" w:ascii="宋体" w:hAnsi="宋体" w:cs="宋体"/>
          <w:sz w:val="24"/>
        </w:rPr>
        <w:t>与学校现有教务系统对接，包括：同步权限、账号、身份认证等，保持人员登录信息和认证的统一性；</w:t>
      </w:r>
    </w:p>
    <w:p w14:paraId="5887107B">
      <w:pPr>
        <w:spacing w:line="360" w:lineRule="auto"/>
        <w:ind w:firstLine="480" w:firstLineChars="200"/>
        <w:contextualSpacing/>
        <w:rPr>
          <w:rFonts w:ascii="宋体" w:hAnsi="宋体"/>
          <w:sz w:val="24"/>
        </w:rPr>
      </w:pPr>
      <w:r>
        <w:rPr>
          <w:rFonts w:hint="eastAsia" w:ascii="宋体" w:hAnsi="宋体"/>
          <w:sz w:val="24"/>
        </w:rPr>
        <w:t>（3）</w:t>
      </w:r>
      <w:r>
        <w:rPr>
          <w:rFonts w:hint="eastAsia" w:ascii="宋体" w:hAnsi="宋体" w:cs="宋体"/>
          <w:sz w:val="24"/>
        </w:rPr>
        <w:t>与学校现有实验室安全教育学习平台进行数据对接，实现实验人员的安全准入资格获取。</w:t>
      </w:r>
    </w:p>
    <w:p w14:paraId="39F6298F">
      <w:pPr>
        <w:spacing w:line="360" w:lineRule="auto"/>
        <w:ind w:firstLine="482" w:firstLineChars="200"/>
        <w:contextualSpacing/>
        <w:rPr>
          <w:rFonts w:ascii="宋体" w:hAnsi="宋体"/>
          <w:b/>
          <w:bCs/>
          <w:sz w:val="24"/>
        </w:rPr>
      </w:pPr>
      <w:r>
        <w:rPr>
          <w:rFonts w:hint="eastAsia" w:ascii="宋体" w:hAnsi="宋体"/>
          <w:b/>
          <w:bCs/>
          <w:sz w:val="24"/>
        </w:rPr>
        <w:t xml:space="preserve">3.实验室安全智能管控一体机能够查询学校规章制度、MSDS手册、危险源操作规程并通过微信扫一扫下载观看，同时可智能管控相关设备或触发安全操作。  </w:t>
      </w:r>
    </w:p>
    <w:p w14:paraId="0B7B6285">
      <w:pPr>
        <w:spacing w:line="360" w:lineRule="auto"/>
        <w:ind w:firstLine="482" w:firstLineChars="200"/>
        <w:contextualSpacing/>
        <w:rPr>
          <w:rFonts w:ascii="宋体" w:hAnsi="宋体"/>
          <w:b/>
          <w:bCs/>
          <w:sz w:val="24"/>
        </w:rPr>
      </w:pPr>
      <w:r>
        <w:rPr>
          <w:rFonts w:hint="eastAsia" w:ascii="宋体" w:hAnsi="宋体" w:cs="宋体"/>
          <w:b/>
          <w:bCs/>
          <w:kern w:val="0"/>
          <w:sz w:val="24"/>
        </w:rPr>
        <w:t>实验室安全智能管控一体机2台，需求如下：</w:t>
      </w:r>
    </w:p>
    <w:p w14:paraId="201A8464">
      <w:pPr>
        <w:spacing w:line="360" w:lineRule="auto"/>
        <w:ind w:firstLine="480" w:firstLineChars="200"/>
        <w:contextualSpacing/>
        <w:rPr>
          <w:rFonts w:ascii="宋体" w:hAnsi="宋体" w:cs="宋体"/>
          <w:sz w:val="24"/>
        </w:rPr>
      </w:pPr>
      <w:r>
        <w:rPr>
          <w:rFonts w:hint="eastAsia" w:ascii="宋体" w:hAnsi="宋体" w:cs="宋体"/>
          <w:sz w:val="24"/>
        </w:rPr>
        <w:t>（1）15寸英寸控制终端；</w:t>
      </w:r>
    </w:p>
    <w:p w14:paraId="229A27C3">
      <w:pPr>
        <w:spacing w:line="360" w:lineRule="auto"/>
        <w:ind w:firstLine="480" w:firstLineChars="200"/>
        <w:contextualSpacing/>
        <w:rPr>
          <w:rFonts w:ascii="宋体" w:hAnsi="宋体" w:cs="宋体"/>
          <w:sz w:val="24"/>
        </w:rPr>
      </w:pPr>
      <w:r>
        <w:rPr>
          <w:rFonts w:hint="eastAsia" w:ascii="宋体" w:hAnsi="宋体" w:cs="宋体"/>
          <w:sz w:val="24"/>
        </w:rPr>
        <w:t>（2）4G内存，32G存储；</w:t>
      </w:r>
    </w:p>
    <w:p w14:paraId="706AFEB3">
      <w:pPr>
        <w:spacing w:line="360" w:lineRule="auto"/>
        <w:ind w:firstLine="480" w:firstLineChars="200"/>
        <w:contextualSpacing/>
        <w:rPr>
          <w:rFonts w:ascii="宋体" w:hAnsi="宋体" w:cs="宋体"/>
          <w:sz w:val="24"/>
        </w:rPr>
      </w:pPr>
      <w:r>
        <w:rPr>
          <w:rFonts w:hint="eastAsia" w:ascii="宋体" w:hAnsi="宋体" w:cs="宋体"/>
          <w:sz w:val="24"/>
        </w:rPr>
        <w:t>（3）可通过app查询实验室安全管理等功能；</w:t>
      </w:r>
    </w:p>
    <w:p w14:paraId="4CBCBCF1">
      <w:pPr>
        <w:spacing w:line="360" w:lineRule="auto"/>
        <w:ind w:firstLine="482" w:firstLineChars="200"/>
        <w:contextualSpacing/>
        <w:rPr>
          <w:rFonts w:ascii="宋体" w:hAnsi="宋体"/>
          <w:b/>
          <w:bCs/>
          <w:sz w:val="24"/>
        </w:rPr>
      </w:pPr>
      <w:r>
        <w:rPr>
          <w:rFonts w:hint="eastAsia" w:ascii="宋体" w:hAnsi="宋体"/>
          <w:b/>
          <w:bCs/>
          <w:sz w:val="24"/>
        </w:rPr>
        <w:t>4.布设电子信息门牌，及时根据实验室使用情况动态更新门牌信息。</w:t>
      </w:r>
    </w:p>
    <w:p w14:paraId="61C07C84">
      <w:pPr>
        <w:spacing w:line="360" w:lineRule="auto"/>
        <w:ind w:firstLine="482" w:firstLineChars="200"/>
        <w:contextualSpacing/>
        <w:rPr>
          <w:rFonts w:ascii="宋体" w:hAnsi="宋体" w:cs="宋体"/>
          <w:b/>
          <w:bCs/>
          <w:sz w:val="24"/>
        </w:rPr>
      </w:pPr>
      <w:r>
        <w:rPr>
          <w:rFonts w:hint="eastAsia" w:ascii="宋体" w:hAnsi="宋体" w:cs="宋体"/>
          <w:b/>
          <w:bCs/>
          <w:sz w:val="24"/>
        </w:rPr>
        <w:t>智能班牌2台，需求如下：</w:t>
      </w:r>
    </w:p>
    <w:p w14:paraId="3E5A0653">
      <w:pPr>
        <w:spacing w:line="360" w:lineRule="auto"/>
        <w:ind w:firstLine="480" w:firstLineChars="200"/>
        <w:contextualSpacing/>
        <w:rPr>
          <w:rFonts w:ascii="宋体" w:hAnsi="宋体" w:cs="宋体"/>
          <w:sz w:val="24"/>
        </w:rPr>
      </w:pPr>
      <w:r>
        <w:rPr>
          <w:rFonts w:hint="eastAsia" w:ascii="宋体" w:hAnsi="宋体" w:cs="宋体"/>
          <w:sz w:val="24"/>
        </w:rPr>
        <w:t>（1）尺寸：≥21.5寸；</w:t>
      </w:r>
    </w:p>
    <w:p w14:paraId="4F96E452">
      <w:pPr>
        <w:spacing w:line="360" w:lineRule="auto"/>
        <w:ind w:firstLine="480" w:firstLineChars="200"/>
        <w:contextualSpacing/>
        <w:rPr>
          <w:rFonts w:ascii="宋体" w:hAnsi="宋体" w:cs="宋体"/>
          <w:sz w:val="24"/>
        </w:rPr>
      </w:pPr>
      <w:r>
        <w:rPr>
          <w:rFonts w:hint="eastAsia" w:ascii="宋体" w:hAnsi="宋体" w:cs="宋体"/>
          <w:sz w:val="24"/>
        </w:rPr>
        <w:t>（2）分辨率：≥1920（水平）x1080（垂直）；</w:t>
      </w:r>
    </w:p>
    <w:p w14:paraId="49C27FCC">
      <w:pPr>
        <w:spacing w:line="360" w:lineRule="auto"/>
        <w:ind w:firstLine="480" w:firstLineChars="200"/>
        <w:contextualSpacing/>
        <w:rPr>
          <w:rFonts w:ascii="宋体" w:hAnsi="宋体" w:cs="宋体"/>
          <w:sz w:val="24"/>
        </w:rPr>
      </w:pPr>
      <w:r>
        <w:rPr>
          <w:rFonts w:hint="eastAsia" w:ascii="宋体" w:hAnsi="宋体" w:cs="宋体"/>
          <w:sz w:val="24"/>
        </w:rPr>
        <w:t>（3）显示面积：≥476（水平）×268（垂直） mm；</w:t>
      </w:r>
    </w:p>
    <w:p w14:paraId="4B5E3578">
      <w:pPr>
        <w:spacing w:line="360" w:lineRule="auto"/>
        <w:ind w:firstLine="480" w:firstLineChars="200"/>
        <w:contextualSpacing/>
        <w:rPr>
          <w:rFonts w:ascii="宋体" w:hAnsi="宋体" w:cs="宋体"/>
          <w:sz w:val="24"/>
        </w:rPr>
      </w:pPr>
      <w:r>
        <w:rPr>
          <w:rFonts w:hint="eastAsia" w:ascii="宋体" w:hAnsi="宋体" w:cs="宋体"/>
          <w:sz w:val="24"/>
        </w:rPr>
        <w:t>（4）亮度：≥520cd/m2；</w:t>
      </w:r>
    </w:p>
    <w:p w14:paraId="12590FB5">
      <w:pPr>
        <w:spacing w:line="360" w:lineRule="auto"/>
        <w:ind w:firstLine="480" w:firstLineChars="200"/>
        <w:contextualSpacing/>
        <w:rPr>
          <w:rFonts w:ascii="宋体" w:hAnsi="宋体" w:cs="宋体"/>
          <w:sz w:val="24"/>
        </w:rPr>
      </w:pPr>
      <w:r>
        <w:rPr>
          <w:rFonts w:hint="eastAsia" w:ascii="宋体" w:hAnsi="宋体" w:cs="宋体"/>
          <w:sz w:val="24"/>
        </w:rPr>
        <w:t>（5）操作系统：不低于Android 7.1；</w:t>
      </w:r>
    </w:p>
    <w:p w14:paraId="5B919F74">
      <w:pPr>
        <w:spacing w:line="360" w:lineRule="auto"/>
        <w:ind w:firstLine="480" w:firstLineChars="200"/>
        <w:contextualSpacing/>
        <w:rPr>
          <w:rFonts w:ascii="宋体" w:hAnsi="宋体" w:cs="宋体"/>
          <w:sz w:val="24"/>
        </w:rPr>
      </w:pPr>
      <w:r>
        <w:rPr>
          <w:rFonts w:hint="eastAsia" w:ascii="宋体" w:hAnsi="宋体" w:cs="宋体"/>
          <w:sz w:val="24"/>
        </w:rPr>
        <w:t>（6）CPU：不低于四核，≥1.8 GHz；</w:t>
      </w:r>
    </w:p>
    <w:p w14:paraId="473D82B4">
      <w:pPr>
        <w:spacing w:line="360" w:lineRule="auto"/>
        <w:ind w:firstLine="480" w:firstLineChars="200"/>
        <w:contextualSpacing/>
        <w:rPr>
          <w:rFonts w:ascii="宋体" w:hAnsi="宋体" w:cs="宋体"/>
          <w:sz w:val="24"/>
        </w:rPr>
      </w:pPr>
      <w:r>
        <w:rPr>
          <w:rFonts w:hint="eastAsia" w:ascii="宋体" w:hAnsi="宋体" w:cs="宋体"/>
          <w:sz w:val="24"/>
        </w:rPr>
        <w:t>（7）内存：≥2GB；</w:t>
      </w:r>
    </w:p>
    <w:p w14:paraId="4458624A">
      <w:pPr>
        <w:spacing w:line="360" w:lineRule="auto"/>
        <w:ind w:firstLine="480" w:firstLineChars="200"/>
        <w:contextualSpacing/>
        <w:rPr>
          <w:rFonts w:ascii="宋体" w:hAnsi="宋体" w:cs="宋体"/>
          <w:sz w:val="24"/>
        </w:rPr>
      </w:pPr>
      <w:r>
        <w:rPr>
          <w:rFonts w:hint="eastAsia" w:ascii="宋体" w:hAnsi="宋体" w:cs="宋体"/>
          <w:sz w:val="24"/>
        </w:rPr>
        <w:t>（8）内置存储空间：≥EMMC 16GB；</w:t>
      </w:r>
    </w:p>
    <w:p w14:paraId="0DDF7979">
      <w:pPr>
        <w:spacing w:line="360" w:lineRule="auto"/>
        <w:ind w:firstLine="480" w:firstLineChars="200"/>
        <w:contextualSpacing/>
        <w:rPr>
          <w:rFonts w:ascii="宋体" w:hAnsi="宋体" w:cs="宋体"/>
          <w:sz w:val="24"/>
        </w:rPr>
      </w:pPr>
      <w:r>
        <w:rPr>
          <w:rFonts w:hint="eastAsia" w:ascii="宋体" w:hAnsi="宋体" w:cs="宋体"/>
          <w:sz w:val="24"/>
        </w:rPr>
        <w:t>（9）超薄机身：≤2.8CM；</w:t>
      </w:r>
    </w:p>
    <w:p w14:paraId="640F3EFA">
      <w:pPr>
        <w:spacing w:line="360" w:lineRule="auto"/>
        <w:ind w:firstLine="480" w:firstLineChars="200"/>
        <w:contextualSpacing/>
        <w:rPr>
          <w:rFonts w:ascii="宋体" w:hAnsi="宋体" w:cs="宋体"/>
          <w:sz w:val="24"/>
        </w:rPr>
      </w:pPr>
      <w:r>
        <w:rPr>
          <w:rFonts w:hint="eastAsia" w:ascii="宋体" w:hAnsi="宋体" w:cs="宋体"/>
          <w:sz w:val="24"/>
        </w:rPr>
        <w:t>（10）摄像头：内置单目宽动态摄像头≥200万像素；</w:t>
      </w:r>
    </w:p>
    <w:p w14:paraId="0586C59D">
      <w:pPr>
        <w:spacing w:line="360" w:lineRule="auto"/>
        <w:ind w:firstLine="480" w:firstLineChars="200"/>
        <w:contextualSpacing/>
        <w:rPr>
          <w:rFonts w:ascii="宋体" w:hAnsi="宋体" w:cs="宋体"/>
          <w:sz w:val="24"/>
        </w:rPr>
      </w:pPr>
      <w:r>
        <w:rPr>
          <w:rFonts w:hint="eastAsia" w:ascii="宋体" w:hAnsi="宋体" w:cs="宋体"/>
          <w:sz w:val="24"/>
        </w:rPr>
        <w:t>（11）响应时间：≤3ms；</w:t>
      </w:r>
    </w:p>
    <w:p w14:paraId="0134979D">
      <w:pPr>
        <w:spacing w:line="360" w:lineRule="auto"/>
        <w:ind w:firstLine="480" w:firstLineChars="200"/>
        <w:contextualSpacing/>
        <w:rPr>
          <w:rFonts w:ascii="宋体" w:hAnsi="宋体" w:cs="宋体"/>
          <w:sz w:val="24"/>
        </w:rPr>
      </w:pPr>
      <w:r>
        <w:rPr>
          <w:rFonts w:hint="eastAsia" w:ascii="宋体" w:hAnsi="宋体" w:cs="宋体"/>
          <w:sz w:val="24"/>
        </w:rPr>
        <w:t>（12）刷新频率：≥60Hz；</w:t>
      </w:r>
    </w:p>
    <w:p w14:paraId="4AECF591">
      <w:pPr>
        <w:spacing w:line="360" w:lineRule="auto"/>
        <w:ind w:firstLine="480" w:firstLineChars="200"/>
        <w:contextualSpacing/>
        <w:rPr>
          <w:rFonts w:ascii="宋体" w:hAnsi="宋体" w:cs="宋体"/>
          <w:sz w:val="24"/>
        </w:rPr>
      </w:pPr>
      <w:r>
        <w:rPr>
          <w:rFonts w:hint="eastAsia" w:ascii="宋体" w:hAnsi="宋体" w:cs="宋体"/>
          <w:sz w:val="24"/>
        </w:rPr>
        <w:t>（13）视角：≥178°；</w:t>
      </w:r>
    </w:p>
    <w:p w14:paraId="1D4495B4">
      <w:pPr>
        <w:spacing w:line="360" w:lineRule="auto"/>
        <w:ind w:firstLine="480" w:firstLineChars="200"/>
        <w:contextualSpacing/>
        <w:rPr>
          <w:rFonts w:ascii="宋体" w:hAnsi="宋体" w:cs="宋体"/>
          <w:sz w:val="24"/>
        </w:rPr>
      </w:pPr>
      <w:r>
        <w:rPr>
          <w:rFonts w:hint="eastAsia" w:ascii="宋体" w:hAnsi="宋体" w:cs="宋体"/>
          <w:sz w:val="24"/>
        </w:rPr>
        <w:t>（14）对比度：≥4000:1；</w:t>
      </w:r>
    </w:p>
    <w:p w14:paraId="7112A5F5">
      <w:pPr>
        <w:spacing w:line="360" w:lineRule="auto"/>
        <w:ind w:firstLine="480" w:firstLineChars="200"/>
        <w:contextualSpacing/>
        <w:rPr>
          <w:rFonts w:ascii="宋体" w:hAnsi="宋体" w:cs="宋体"/>
          <w:sz w:val="24"/>
        </w:rPr>
      </w:pPr>
      <w:r>
        <w:rPr>
          <w:rFonts w:hint="eastAsia" w:ascii="宋体" w:hAnsi="宋体" w:cs="宋体"/>
          <w:sz w:val="24"/>
        </w:rPr>
        <w:t>（15）网络接口：具备RJ45接口，支持Ethernet；</w:t>
      </w:r>
    </w:p>
    <w:p w14:paraId="343E6C42">
      <w:pPr>
        <w:spacing w:line="360" w:lineRule="auto"/>
        <w:ind w:firstLine="480" w:firstLineChars="200"/>
        <w:contextualSpacing/>
        <w:rPr>
          <w:rFonts w:ascii="宋体" w:hAnsi="宋体" w:cs="宋体"/>
          <w:sz w:val="24"/>
        </w:rPr>
      </w:pPr>
      <w:r>
        <w:rPr>
          <w:rFonts w:hint="eastAsia" w:ascii="宋体" w:hAnsi="宋体" w:cs="宋体"/>
          <w:sz w:val="24"/>
        </w:rPr>
        <w:t>（16）WIFI：支持 WiFi 802.11b/g/n，内置2.4G单频天线；</w:t>
      </w:r>
    </w:p>
    <w:p w14:paraId="121EA4DD">
      <w:pPr>
        <w:spacing w:line="360" w:lineRule="auto"/>
        <w:ind w:firstLine="480" w:firstLineChars="200"/>
        <w:contextualSpacing/>
        <w:rPr>
          <w:rFonts w:ascii="宋体" w:hAnsi="宋体" w:cs="宋体"/>
          <w:sz w:val="24"/>
        </w:rPr>
      </w:pPr>
      <w:r>
        <w:rPr>
          <w:rFonts w:hint="eastAsia" w:ascii="宋体" w:hAnsi="宋体" w:cs="宋体"/>
          <w:sz w:val="24"/>
        </w:rPr>
        <w:t>（17）读写器：支持IC卡。</w:t>
      </w:r>
    </w:p>
    <w:p w14:paraId="20E84AF1">
      <w:pPr>
        <w:spacing w:line="360" w:lineRule="auto"/>
        <w:ind w:firstLine="480"/>
        <w:contextualSpacing/>
        <w:rPr>
          <w:rFonts w:ascii="宋体" w:hAnsi="宋体"/>
          <w:b/>
          <w:bCs/>
          <w:sz w:val="24"/>
        </w:rPr>
      </w:pPr>
      <w:r>
        <w:rPr>
          <w:rFonts w:hint="eastAsia" w:ascii="宋体" w:hAnsi="宋体"/>
          <w:b/>
          <w:bCs/>
          <w:sz w:val="24"/>
        </w:rPr>
        <w:t>（二）视频监控管理</w:t>
      </w:r>
    </w:p>
    <w:p w14:paraId="2521613A">
      <w:pPr>
        <w:spacing w:line="360" w:lineRule="auto"/>
        <w:ind w:firstLine="480"/>
        <w:contextualSpacing/>
        <w:rPr>
          <w:rFonts w:ascii="宋体" w:hAnsi="宋体"/>
          <w:b/>
          <w:bCs/>
          <w:sz w:val="24"/>
        </w:rPr>
      </w:pPr>
      <w:r>
        <w:rPr>
          <w:rFonts w:hint="eastAsia" w:ascii="宋体" w:hAnsi="宋体"/>
          <w:b/>
          <w:bCs/>
          <w:sz w:val="24"/>
        </w:rPr>
        <w:t>用户可通过手机端、电脑端随时随地调取现场画面，实现对目标监控区域的24小时持续监控，纪录至少保存30天。</w:t>
      </w:r>
    </w:p>
    <w:p w14:paraId="2C56F1CC">
      <w:pPr>
        <w:spacing w:line="360" w:lineRule="auto"/>
        <w:ind w:firstLine="480"/>
        <w:contextualSpacing/>
        <w:rPr>
          <w:rFonts w:ascii="宋体" w:hAnsi="宋体"/>
          <w:b/>
          <w:bCs/>
          <w:sz w:val="24"/>
        </w:rPr>
      </w:pPr>
      <w:r>
        <w:rPr>
          <w:rFonts w:hint="eastAsia" w:ascii="宋体" w:hAnsi="宋体"/>
          <w:b/>
          <w:bCs/>
          <w:sz w:val="24"/>
        </w:rPr>
        <w:t>1.数据实时监测</w:t>
      </w:r>
    </w:p>
    <w:p w14:paraId="7BE34238">
      <w:pPr>
        <w:spacing w:line="360" w:lineRule="auto"/>
        <w:ind w:firstLine="480"/>
        <w:contextualSpacing/>
        <w:rPr>
          <w:rFonts w:ascii="宋体" w:hAnsi="宋体"/>
          <w:b/>
          <w:bCs/>
          <w:sz w:val="24"/>
        </w:rPr>
      </w:pPr>
      <w:r>
        <w:rPr>
          <w:rFonts w:hint="eastAsia" w:ascii="宋体" w:hAnsi="宋体"/>
          <w:b/>
          <w:bCs/>
          <w:sz w:val="24"/>
        </w:rPr>
        <w:t>通过布设智能网络摄像机、分析主机等设备对实验室数据进行实时监测，实现实验室安全风险的智能防控处置。</w:t>
      </w:r>
    </w:p>
    <w:p w14:paraId="7EA47DAC">
      <w:pPr>
        <w:spacing w:line="360" w:lineRule="auto"/>
        <w:ind w:firstLine="480"/>
        <w:contextualSpacing/>
        <w:rPr>
          <w:rFonts w:ascii="宋体" w:hAnsi="宋体"/>
          <w:b/>
          <w:bCs/>
          <w:sz w:val="24"/>
        </w:rPr>
      </w:pPr>
      <w:r>
        <w:rPr>
          <w:rFonts w:hint="eastAsia" w:ascii="宋体" w:hAnsi="宋体"/>
          <w:b/>
          <w:bCs/>
          <w:sz w:val="24"/>
        </w:rPr>
        <w:t>对学生与管理人员进行实时管理。设置实验服、手套、口罩等自动识别算法，对实验室进行可视喊话、对讲</w:t>
      </w:r>
      <w:r>
        <w:rPr>
          <w:rFonts w:ascii="宋体" w:hAnsi="宋体"/>
          <w:b/>
          <w:bCs/>
          <w:sz w:val="24"/>
        </w:rPr>
        <w:t>。</w:t>
      </w:r>
    </w:p>
    <w:p w14:paraId="00D52323">
      <w:pPr>
        <w:spacing w:line="360" w:lineRule="auto"/>
        <w:ind w:firstLine="480"/>
        <w:contextualSpacing/>
        <w:rPr>
          <w:rFonts w:ascii="宋体" w:hAnsi="宋体"/>
          <w:b/>
          <w:bCs/>
          <w:sz w:val="24"/>
        </w:rPr>
      </w:pPr>
      <w:r>
        <w:rPr>
          <w:rFonts w:hint="eastAsia" w:ascii="宋体" w:hAnsi="宋体"/>
          <w:b/>
          <w:bCs/>
          <w:sz w:val="24"/>
        </w:rPr>
        <w:t>智能网络摄像机4台，需求如下：</w:t>
      </w:r>
    </w:p>
    <w:p w14:paraId="2F9CFA3D">
      <w:pPr>
        <w:numPr>
          <w:ilvl w:val="0"/>
          <w:numId w:val="5"/>
        </w:numPr>
        <w:spacing w:line="360" w:lineRule="auto"/>
        <w:ind w:firstLine="480"/>
        <w:contextualSpacing/>
        <w:rPr>
          <w:rFonts w:ascii="宋体" w:hAnsi="宋体"/>
          <w:sz w:val="24"/>
        </w:rPr>
      </w:pPr>
      <w:r>
        <w:rPr>
          <w:rFonts w:hint="eastAsia" w:ascii="宋体" w:hAnsi="宋体"/>
          <w:sz w:val="24"/>
        </w:rPr>
        <w:t>分辨率设置为2688×1520@25fps，分辨力不小于1500TVL。</w:t>
      </w:r>
    </w:p>
    <w:p w14:paraId="2DD7CC57">
      <w:pPr>
        <w:numPr>
          <w:ilvl w:val="0"/>
          <w:numId w:val="5"/>
        </w:numPr>
        <w:spacing w:line="360" w:lineRule="auto"/>
        <w:ind w:firstLine="480"/>
        <w:contextualSpacing/>
        <w:rPr>
          <w:rFonts w:ascii="宋体" w:hAnsi="宋体"/>
          <w:sz w:val="24"/>
        </w:rPr>
      </w:pPr>
      <w:r>
        <w:rPr>
          <w:rFonts w:hint="eastAsia" w:ascii="宋体" w:hAnsi="宋体"/>
          <w:sz w:val="24"/>
        </w:rPr>
        <w:t>（2）具有不小于1/1.8"靶面尺寸。</w:t>
      </w:r>
    </w:p>
    <w:p w14:paraId="69A5C11D">
      <w:pPr>
        <w:spacing w:line="360" w:lineRule="auto"/>
        <w:ind w:firstLine="480"/>
        <w:contextualSpacing/>
        <w:rPr>
          <w:rFonts w:ascii="宋体" w:hAnsi="宋体"/>
          <w:sz w:val="24"/>
        </w:rPr>
      </w:pPr>
      <w:r>
        <w:rPr>
          <w:rFonts w:hint="eastAsia" w:ascii="宋体" w:hAnsi="宋体"/>
          <w:sz w:val="24"/>
        </w:rPr>
        <w:t>（3）像元尺寸不小于2.9um×2.9um。</w:t>
      </w:r>
    </w:p>
    <w:p w14:paraId="5D06F50C">
      <w:pPr>
        <w:spacing w:line="360" w:lineRule="auto"/>
        <w:ind w:firstLine="480"/>
        <w:contextualSpacing/>
        <w:rPr>
          <w:rFonts w:ascii="宋体" w:hAnsi="宋体"/>
          <w:sz w:val="24"/>
        </w:rPr>
      </w:pPr>
      <w:r>
        <w:rPr>
          <w:rFonts w:hint="eastAsia" w:ascii="宋体" w:hAnsi="宋体"/>
          <w:sz w:val="24"/>
        </w:rPr>
        <w:t>（4）内置2个麦克风、1个扬声器。</w:t>
      </w:r>
    </w:p>
    <w:p w14:paraId="2B5A3526">
      <w:pPr>
        <w:spacing w:line="360" w:lineRule="auto"/>
        <w:ind w:firstLine="480"/>
        <w:contextualSpacing/>
        <w:rPr>
          <w:rFonts w:ascii="宋体" w:hAnsi="宋体"/>
          <w:sz w:val="24"/>
        </w:rPr>
      </w:pPr>
      <w:r>
        <w:rPr>
          <w:rFonts w:hint="eastAsia" w:ascii="宋体" w:hAnsi="宋体"/>
          <w:sz w:val="24"/>
        </w:rPr>
        <w:t>（5）支持MD5、SHA256加密算法。</w:t>
      </w:r>
    </w:p>
    <w:p w14:paraId="0C43CCB5">
      <w:pPr>
        <w:spacing w:line="360" w:lineRule="auto"/>
        <w:ind w:firstLine="480"/>
        <w:contextualSpacing/>
        <w:rPr>
          <w:rFonts w:ascii="宋体" w:hAnsi="宋体"/>
          <w:sz w:val="24"/>
        </w:rPr>
      </w:pPr>
      <w:r>
        <w:rPr>
          <w:rFonts w:hint="eastAsia" w:ascii="宋体" w:hAnsi="宋体"/>
          <w:sz w:val="24"/>
        </w:rPr>
        <w:t>（6）最低照度彩色不大于0.0002 lx，黑白不大于0.0001 lx。</w:t>
      </w:r>
    </w:p>
    <w:p w14:paraId="4B20083F">
      <w:pPr>
        <w:spacing w:line="360" w:lineRule="auto"/>
        <w:ind w:firstLine="480"/>
        <w:contextualSpacing/>
        <w:rPr>
          <w:rFonts w:ascii="宋体" w:hAnsi="宋体"/>
          <w:sz w:val="24"/>
        </w:rPr>
      </w:pPr>
      <w:r>
        <w:rPr>
          <w:rFonts w:hint="eastAsia" w:ascii="宋体" w:hAnsi="宋体"/>
          <w:sz w:val="24"/>
        </w:rPr>
        <w:t>（7）宽动态能力不小于120dB。</w:t>
      </w:r>
    </w:p>
    <w:p w14:paraId="1786528F">
      <w:pPr>
        <w:spacing w:line="360" w:lineRule="auto"/>
        <w:ind w:firstLine="480"/>
        <w:contextualSpacing/>
        <w:rPr>
          <w:rFonts w:ascii="宋体" w:hAnsi="宋体"/>
          <w:sz w:val="24"/>
        </w:rPr>
      </w:pPr>
      <w:r>
        <w:rPr>
          <w:rFonts w:hint="eastAsia" w:ascii="宋体" w:hAnsi="宋体"/>
          <w:sz w:val="24"/>
        </w:rPr>
        <w:t>（8）红外补光距离不小于50米。</w:t>
      </w:r>
    </w:p>
    <w:p w14:paraId="1964A4A7">
      <w:pPr>
        <w:spacing w:line="360" w:lineRule="auto"/>
        <w:ind w:firstLine="480"/>
        <w:contextualSpacing/>
        <w:rPr>
          <w:rFonts w:ascii="宋体" w:hAnsi="宋体"/>
          <w:sz w:val="24"/>
        </w:rPr>
      </w:pPr>
      <w:r>
        <w:rPr>
          <w:rFonts w:hint="eastAsia" w:ascii="宋体" w:hAnsi="宋体"/>
          <w:sz w:val="24"/>
        </w:rPr>
        <w:t>（9）需支持三码流技术，主码流最高2688x1520@25fps，子码流704x576@25fps，第三码流最大分辨率为1920x1080@25fps。</w:t>
      </w:r>
    </w:p>
    <w:p w14:paraId="300684D8">
      <w:pPr>
        <w:spacing w:line="360" w:lineRule="auto"/>
        <w:ind w:firstLine="480"/>
        <w:contextualSpacing/>
        <w:rPr>
          <w:rFonts w:ascii="宋体" w:hAnsi="宋体"/>
          <w:sz w:val="24"/>
        </w:rPr>
      </w:pPr>
      <w:r>
        <w:rPr>
          <w:rFonts w:hint="eastAsia" w:ascii="宋体" w:hAnsi="宋体"/>
          <w:sz w:val="24"/>
        </w:rPr>
        <w:t>（10）支持H.264、H.265、MJPEG视频编码格式。</w:t>
      </w:r>
    </w:p>
    <w:p w14:paraId="460B3E92">
      <w:pPr>
        <w:spacing w:line="360" w:lineRule="auto"/>
        <w:ind w:firstLine="480"/>
        <w:contextualSpacing/>
        <w:rPr>
          <w:rFonts w:ascii="宋体" w:hAnsi="宋体"/>
          <w:sz w:val="24"/>
        </w:rPr>
      </w:pPr>
      <w:r>
        <w:rPr>
          <w:rFonts w:hint="eastAsia" w:ascii="宋体" w:hAnsi="宋体"/>
          <w:sz w:val="24"/>
        </w:rPr>
        <w:t>（11）同一静止场景相同图像质量下，设备在H.265编码方式时，开启智能编码功能和不开启智能编码相比，码率节约80%。</w:t>
      </w:r>
    </w:p>
    <w:p w14:paraId="19AAF102">
      <w:pPr>
        <w:spacing w:line="360" w:lineRule="auto"/>
        <w:ind w:firstLine="480"/>
        <w:contextualSpacing/>
        <w:rPr>
          <w:rFonts w:ascii="宋体" w:hAnsi="宋体"/>
          <w:sz w:val="24"/>
        </w:rPr>
      </w:pPr>
      <w:r>
        <w:rPr>
          <w:rFonts w:hint="eastAsia" w:ascii="宋体" w:hAnsi="宋体"/>
          <w:sz w:val="24"/>
        </w:rPr>
        <w:t>（12）信噪比不小于58dB。</w:t>
      </w:r>
    </w:p>
    <w:p w14:paraId="21A2FBC1">
      <w:pPr>
        <w:spacing w:line="360" w:lineRule="auto"/>
        <w:ind w:firstLine="480"/>
        <w:contextualSpacing/>
        <w:rPr>
          <w:rFonts w:ascii="宋体" w:hAnsi="宋体"/>
          <w:sz w:val="24"/>
        </w:rPr>
      </w:pPr>
      <w:r>
        <w:rPr>
          <w:rFonts w:hint="eastAsia" w:ascii="宋体" w:hAnsi="宋体"/>
          <w:sz w:val="24"/>
        </w:rPr>
        <w:t>（13）在分辨率1920x1080 @ 25fps，延时不大于70ms。</w:t>
      </w:r>
    </w:p>
    <w:p w14:paraId="7DC2B477">
      <w:pPr>
        <w:spacing w:line="360" w:lineRule="auto"/>
        <w:ind w:firstLine="480"/>
        <w:contextualSpacing/>
        <w:rPr>
          <w:rFonts w:ascii="宋体" w:hAnsi="宋体"/>
          <w:sz w:val="24"/>
        </w:rPr>
      </w:pPr>
      <w:r>
        <w:rPr>
          <w:rFonts w:hint="eastAsia" w:ascii="宋体" w:hAnsi="宋体"/>
          <w:sz w:val="24"/>
        </w:rPr>
        <w:t>（14）支持亮度异常、清晰度异常、花屏、雪花、偏色、画面冻结、增益失衡、画面抖动、条纹干扰、信号丢失、视频遮挡、光晕、紫边等故障报警功能。</w:t>
      </w:r>
    </w:p>
    <w:p w14:paraId="7C7C186D">
      <w:pPr>
        <w:spacing w:line="360" w:lineRule="auto"/>
        <w:ind w:firstLine="480"/>
        <w:contextualSpacing/>
        <w:rPr>
          <w:rFonts w:ascii="宋体" w:hAnsi="宋体"/>
          <w:sz w:val="24"/>
        </w:rPr>
      </w:pPr>
      <w:r>
        <w:rPr>
          <w:rFonts w:hint="eastAsia" w:ascii="宋体" w:hAnsi="宋体"/>
          <w:sz w:val="24"/>
        </w:rPr>
        <w:t>（15）支持侧脸过滤功能，可过滤上下、左右角度达到预设值的人脸。</w:t>
      </w:r>
    </w:p>
    <w:p w14:paraId="5DF4DE38">
      <w:pPr>
        <w:spacing w:line="360" w:lineRule="auto"/>
        <w:ind w:firstLine="480"/>
        <w:contextualSpacing/>
        <w:rPr>
          <w:rFonts w:ascii="宋体" w:hAnsi="宋体"/>
          <w:sz w:val="24"/>
        </w:rPr>
      </w:pPr>
      <w:r>
        <w:rPr>
          <w:rFonts w:hint="eastAsia" w:ascii="宋体" w:hAnsi="宋体"/>
          <w:sz w:val="24"/>
        </w:rPr>
        <w:t>（16）具有1个RJ45网络接口，2路音频输入，1路音频输出，3路报警输入，2路报警输出，1个RS485接口，1个DC12V输出接口。</w:t>
      </w:r>
    </w:p>
    <w:p w14:paraId="48A18D80">
      <w:pPr>
        <w:spacing w:line="360" w:lineRule="auto"/>
        <w:ind w:firstLine="480"/>
        <w:contextualSpacing/>
        <w:rPr>
          <w:rFonts w:ascii="宋体" w:hAnsi="宋体"/>
          <w:sz w:val="24"/>
        </w:rPr>
      </w:pPr>
      <w:r>
        <w:rPr>
          <w:rFonts w:hint="eastAsia" w:ascii="宋体" w:hAnsi="宋体"/>
          <w:sz w:val="24"/>
        </w:rPr>
        <w:t>（17）支持数据感知功能，在IE 浏览器下，重启事件记录可包括正常重启和异常重启2种类型。正常重启可记录重启的时间、服务类型、用户名、IP/域名信息；异常重启可记录重启时间、异常类型信息。</w:t>
      </w:r>
    </w:p>
    <w:p w14:paraId="39E6F9AA">
      <w:pPr>
        <w:spacing w:line="360" w:lineRule="auto"/>
        <w:ind w:firstLine="480"/>
        <w:contextualSpacing/>
        <w:rPr>
          <w:rFonts w:ascii="宋体" w:hAnsi="宋体"/>
          <w:sz w:val="24"/>
        </w:rPr>
      </w:pPr>
      <w:r>
        <w:rPr>
          <w:rFonts w:hint="eastAsia" w:ascii="宋体" w:hAnsi="宋体"/>
          <w:sz w:val="24"/>
        </w:rPr>
        <w:t>（18）▲在IE浏览器下，具有设备重启和布防动态报警数据感知与记录功能，布防动态报警数据包括异常掉线、历史布防、实时布防3种类型；可记录报警的开始时间、结束时间、布防类型、报警链路地址、端口、链路续传。（需提供公安部检验报告证明,并加盖制造商公章）</w:t>
      </w:r>
    </w:p>
    <w:p w14:paraId="0D915068">
      <w:pPr>
        <w:spacing w:line="360" w:lineRule="auto"/>
        <w:ind w:firstLine="480"/>
        <w:contextualSpacing/>
        <w:rPr>
          <w:rFonts w:ascii="宋体" w:hAnsi="宋体"/>
          <w:sz w:val="24"/>
        </w:rPr>
      </w:pPr>
      <w:r>
        <w:rPr>
          <w:rFonts w:hint="eastAsia" w:ascii="宋体" w:hAnsi="宋体"/>
          <w:sz w:val="24"/>
        </w:rPr>
        <w:t>（19）支持通过IE浏览器设置登录超时时间，当登录后无操作时长达到设置阈值后，设备自动退出并重新进入登录界面。</w:t>
      </w:r>
    </w:p>
    <w:p w14:paraId="0B87F2D3">
      <w:pPr>
        <w:spacing w:line="360" w:lineRule="auto"/>
        <w:ind w:firstLine="480"/>
        <w:contextualSpacing/>
        <w:rPr>
          <w:rFonts w:ascii="宋体" w:hAnsi="宋体"/>
          <w:sz w:val="24"/>
        </w:rPr>
      </w:pPr>
      <w:r>
        <w:rPr>
          <w:rFonts w:hint="eastAsia" w:ascii="宋体" w:hAnsi="宋体"/>
          <w:sz w:val="24"/>
        </w:rPr>
        <w:t>（20）设备具有耀光抑制功能，耀光区域≤1%。</w:t>
      </w:r>
    </w:p>
    <w:p w14:paraId="1C14790C">
      <w:pPr>
        <w:spacing w:line="360" w:lineRule="auto"/>
        <w:ind w:firstLine="480"/>
        <w:contextualSpacing/>
        <w:rPr>
          <w:rFonts w:ascii="宋体" w:hAnsi="宋体"/>
          <w:b/>
          <w:bCs/>
          <w:sz w:val="24"/>
        </w:rPr>
      </w:pPr>
      <w:r>
        <w:rPr>
          <w:rFonts w:hint="eastAsia" w:ascii="宋体" w:hAnsi="宋体"/>
          <w:b/>
          <w:bCs/>
          <w:sz w:val="24"/>
        </w:rPr>
        <w:t>分析主机1台，需求如下：</w:t>
      </w:r>
    </w:p>
    <w:p w14:paraId="01DAE892">
      <w:pPr>
        <w:spacing w:line="360" w:lineRule="auto"/>
        <w:ind w:firstLine="480"/>
        <w:contextualSpacing/>
        <w:rPr>
          <w:rFonts w:ascii="宋体" w:hAnsi="宋体"/>
          <w:sz w:val="24"/>
        </w:rPr>
      </w:pPr>
      <w:r>
        <w:rPr>
          <w:rFonts w:hint="eastAsia" w:ascii="宋体" w:hAnsi="宋体"/>
          <w:sz w:val="24"/>
        </w:rPr>
        <w:t>硬件规格</w:t>
      </w:r>
    </w:p>
    <w:p w14:paraId="2260CEE8">
      <w:pPr>
        <w:spacing w:line="360" w:lineRule="auto"/>
        <w:ind w:firstLine="480"/>
        <w:contextualSpacing/>
        <w:rPr>
          <w:rFonts w:ascii="宋体" w:hAnsi="宋体"/>
          <w:sz w:val="24"/>
        </w:rPr>
      </w:pPr>
      <w:r>
        <w:rPr>
          <w:rFonts w:hint="eastAsia" w:ascii="宋体" w:hAnsi="宋体"/>
          <w:sz w:val="24"/>
        </w:rPr>
        <w:t>（1）2个HDMI，1个VGA</w:t>
      </w:r>
    </w:p>
    <w:p w14:paraId="28C649F4">
      <w:pPr>
        <w:spacing w:line="360" w:lineRule="auto"/>
        <w:ind w:firstLine="480"/>
        <w:contextualSpacing/>
        <w:rPr>
          <w:rFonts w:ascii="宋体" w:hAnsi="宋体"/>
          <w:sz w:val="24"/>
        </w:rPr>
      </w:pPr>
      <w:r>
        <w:rPr>
          <w:rFonts w:hint="eastAsia" w:ascii="宋体" w:hAnsi="宋体"/>
          <w:sz w:val="24"/>
        </w:rPr>
        <w:t>（2）已内置4TB（3.5寸）硬盘（主要用于报警图片和报警录像存储）</w:t>
      </w:r>
    </w:p>
    <w:p w14:paraId="050BCBD2">
      <w:pPr>
        <w:spacing w:line="360" w:lineRule="auto"/>
        <w:ind w:firstLine="480"/>
        <w:contextualSpacing/>
        <w:rPr>
          <w:rFonts w:ascii="宋体" w:hAnsi="宋体"/>
          <w:sz w:val="24"/>
        </w:rPr>
      </w:pPr>
      <w:r>
        <w:rPr>
          <w:rFonts w:hint="eastAsia" w:ascii="宋体" w:hAnsi="宋体"/>
          <w:sz w:val="24"/>
        </w:rPr>
        <w:t>（3）2个10M/100M/1000Mbps网口</w:t>
      </w:r>
    </w:p>
    <w:p w14:paraId="1145889E">
      <w:pPr>
        <w:spacing w:line="360" w:lineRule="auto"/>
        <w:ind w:firstLine="480"/>
        <w:contextualSpacing/>
        <w:rPr>
          <w:rFonts w:ascii="宋体" w:hAnsi="宋体"/>
          <w:sz w:val="24"/>
        </w:rPr>
      </w:pPr>
      <w:r>
        <w:rPr>
          <w:rFonts w:hint="eastAsia" w:ascii="宋体" w:hAnsi="宋体"/>
          <w:sz w:val="24"/>
        </w:rPr>
        <w:t>（4）2个USB2.0接口、1个USB3.0接口</w:t>
      </w:r>
    </w:p>
    <w:p w14:paraId="031DCA66">
      <w:pPr>
        <w:spacing w:line="360" w:lineRule="auto"/>
        <w:ind w:firstLine="480"/>
        <w:contextualSpacing/>
        <w:rPr>
          <w:rFonts w:ascii="宋体" w:hAnsi="宋体"/>
          <w:sz w:val="24"/>
        </w:rPr>
      </w:pPr>
      <w:r>
        <w:rPr>
          <w:rFonts w:hint="eastAsia" w:ascii="宋体" w:hAnsi="宋体"/>
          <w:sz w:val="24"/>
        </w:rPr>
        <w:t>（5）报警IO接口：16路报警输入，4路报警输出</w:t>
      </w:r>
    </w:p>
    <w:p w14:paraId="44C87D8B">
      <w:pPr>
        <w:spacing w:line="360" w:lineRule="auto"/>
        <w:ind w:firstLine="480"/>
        <w:contextualSpacing/>
        <w:rPr>
          <w:rFonts w:ascii="宋体" w:hAnsi="宋体"/>
          <w:sz w:val="24"/>
        </w:rPr>
      </w:pPr>
      <w:r>
        <w:rPr>
          <w:rFonts w:hint="eastAsia" w:ascii="宋体" w:hAnsi="宋体"/>
          <w:sz w:val="24"/>
        </w:rPr>
        <w:t>产品性能</w:t>
      </w:r>
    </w:p>
    <w:p w14:paraId="2AE185F5">
      <w:pPr>
        <w:spacing w:line="360" w:lineRule="auto"/>
        <w:ind w:firstLine="480"/>
        <w:contextualSpacing/>
        <w:rPr>
          <w:rFonts w:ascii="宋体" w:hAnsi="宋体"/>
          <w:sz w:val="24"/>
        </w:rPr>
      </w:pPr>
      <w:r>
        <w:rPr>
          <w:rFonts w:hint="eastAsia" w:ascii="宋体" w:hAnsi="宋体"/>
          <w:sz w:val="24"/>
        </w:rPr>
        <w:t>（1）输入带宽：128Mbps</w:t>
      </w:r>
    </w:p>
    <w:p w14:paraId="5CB08253">
      <w:pPr>
        <w:spacing w:line="360" w:lineRule="auto"/>
        <w:ind w:firstLine="480"/>
        <w:contextualSpacing/>
        <w:rPr>
          <w:rFonts w:ascii="宋体" w:hAnsi="宋体"/>
          <w:sz w:val="24"/>
        </w:rPr>
      </w:pPr>
      <w:r>
        <w:rPr>
          <w:rFonts w:hint="eastAsia" w:ascii="宋体" w:hAnsi="宋体"/>
          <w:sz w:val="24"/>
        </w:rPr>
        <w:t>（2）输出带宽：256Mbps</w:t>
      </w:r>
    </w:p>
    <w:p w14:paraId="356057FE">
      <w:pPr>
        <w:spacing w:line="360" w:lineRule="auto"/>
        <w:ind w:firstLine="480"/>
        <w:contextualSpacing/>
        <w:rPr>
          <w:rFonts w:ascii="宋体" w:hAnsi="宋体"/>
          <w:sz w:val="24"/>
        </w:rPr>
      </w:pPr>
      <w:r>
        <w:rPr>
          <w:rFonts w:hint="eastAsia" w:ascii="宋体" w:hAnsi="宋体"/>
          <w:sz w:val="24"/>
        </w:rPr>
        <w:t>（3）接入能力：16路H.264、H.265格式高清码流接入</w:t>
      </w:r>
    </w:p>
    <w:p w14:paraId="17CCC112">
      <w:pPr>
        <w:spacing w:line="360" w:lineRule="auto"/>
        <w:ind w:firstLine="480"/>
        <w:contextualSpacing/>
        <w:rPr>
          <w:rFonts w:ascii="宋体" w:hAnsi="宋体"/>
          <w:sz w:val="24"/>
        </w:rPr>
      </w:pPr>
      <w:r>
        <w:rPr>
          <w:rFonts w:hint="eastAsia" w:ascii="宋体" w:hAnsi="宋体"/>
          <w:sz w:val="24"/>
        </w:rPr>
        <w:t>（4）解码能力：最大支持16×1080P</w:t>
      </w:r>
    </w:p>
    <w:p w14:paraId="71690498">
      <w:pPr>
        <w:spacing w:line="360" w:lineRule="auto"/>
        <w:ind w:firstLine="480"/>
        <w:contextualSpacing/>
        <w:rPr>
          <w:rFonts w:ascii="宋体" w:hAnsi="宋体"/>
          <w:sz w:val="24"/>
        </w:rPr>
      </w:pPr>
      <w:r>
        <w:rPr>
          <w:rFonts w:hint="eastAsia" w:ascii="宋体" w:hAnsi="宋体"/>
          <w:sz w:val="24"/>
        </w:rPr>
        <w:t>智能应用</w:t>
      </w:r>
    </w:p>
    <w:p w14:paraId="12081A05">
      <w:pPr>
        <w:spacing w:line="360" w:lineRule="auto"/>
        <w:ind w:firstLine="480"/>
        <w:contextualSpacing/>
        <w:rPr>
          <w:rFonts w:ascii="宋体" w:hAnsi="宋体"/>
          <w:sz w:val="24"/>
        </w:rPr>
      </w:pPr>
      <w:r>
        <w:rPr>
          <w:rFonts w:hint="eastAsia" w:ascii="宋体" w:hAnsi="宋体"/>
          <w:sz w:val="24"/>
        </w:rPr>
        <w:t>（1）识别实验人员是否穿实验服、口罩、手套等</w:t>
      </w:r>
    </w:p>
    <w:p w14:paraId="6A260AAB">
      <w:pPr>
        <w:spacing w:line="360" w:lineRule="auto"/>
        <w:ind w:firstLine="480"/>
        <w:contextualSpacing/>
        <w:rPr>
          <w:rFonts w:ascii="宋体" w:hAnsi="宋体"/>
          <w:sz w:val="24"/>
        </w:rPr>
      </w:pPr>
      <w:r>
        <w:rPr>
          <w:rFonts w:hint="eastAsia" w:ascii="宋体" w:hAnsi="宋体"/>
          <w:sz w:val="24"/>
        </w:rPr>
        <w:t>（2）检测实验室垃圾桶是否盖盖子</w:t>
      </w:r>
    </w:p>
    <w:p w14:paraId="292E3619">
      <w:pPr>
        <w:spacing w:line="360" w:lineRule="auto"/>
        <w:ind w:firstLine="480"/>
        <w:contextualSpacing/>
        <w:rPr>
          <w:rFonts w:ascii="宋体" w:hAnsi="宋体"/>
          <w:sz w:val="24"/>
        </w:rPr>
      </w:pPr>
      <w:r>
        <w:rPr>
          <w:rFonts w:hint="eastAsia" w:ascii="宋体" w:hAnsi="宋体"/>
          <w:sz w:val="24"/>
        </w:rPr>
        <w:t>（3）实时视频分析、轮巡视频分析、定时抓图分析</w:t>
      </w:r>
    </w:p>
    <w:p w14:paraId="4C247457">
      <w:pPr>
        <w:spacing w:line="360" w:lineRule="auto"/>
        <w:ind w:firstLine="480" w:firstLineChars="200"/>
        <w:contextualSpacing/>
        <w:rPr>
          <w:rFonts w:ascii="宋体" w:hAnsi="宋体"/>
          <w:sz w:val="24"/>
        </w:rPr>
      </w:pPr>
      <w:r>
        <w:rPr>
          <w:rFonts w:hint="eastAsia" w:ascii="宋体" w:hAnsi="宋体"/>
          <w:sz w:val="24"/>
        </w:rPr>
        <w:t>算法规格</w:t>
      </w:r>
    </w:p>
    <w:p w14:paraId="2999A689">
      <w:pPr>
        <w:spacing w:line="360" w:lineRule="auto"/>
        <w:ind w:firstLine="480" w:firstLineChars="200"/>
        <w:contextualSpacing/>
        <w:rPr>
          <w:rFonts w:ascii="宋体" w:hAnsi="宋体"/>
          <w:sz w:val="24"/>
        </w:rPr>
      </w:pPr>
      <w:r>
        <w:rPr>
          <w:rFonts w:hint="eastAsia" w:ascii="宋体" w:hAnsi="宋体"/>
          <w:sz w:val="24"/>
        </w:rPr>
        <w:t>（1）设备内置1颗GPU(物理引擎)</w:t>
      </w:r>
    </w:p>
    <w:p w14:paraId="304EC7CB">
      <w:pPr>
        <w:spacing w:line="360" w:lineRule="auto"/>
        <w:ind w:firstLine="480" w:firstLineChars="200"/>
        <w:contextualSpacing/>
        <w:rPr>
          <w:rFonts w:ascii="宋体" w:hAnsi="宋体"/>
          <w:sz w:val="24"/>
        </w:rPr>
      </w:pPr>
      <w:r>
        <w:rPr>
          <w:rFonts w:hint="eastAsia" w:ascii="宋体" w:hAnsi="宋体"/>
          <w:sz w:val="24"/>
        </w:rPr>
        <w:t>（2）1个GPU(物理引擎)=4个vGPU(虚拟引擎)，上述1种算法可单独加载到1个虚拟引擎中</w:t>
      </w:r>
    </w:p>
    <w:p w14:paraId="079A92B5">
      <w:pPr>
        <w:spacing w:line="360" w:lineRule="auto"/>
        <w:ind w:firstLine="480" w:firstLineChars="200"/>
        <w:contextualSpacing/>
        <w:rPr>
          <w:rFonts w:ascii="宋体" w:hAnsi="宋体"/>
          <w:sz w:val="24"/>
        </w:rPr>
      </w:pPr>
      <w:r>
        <w:rPr>
          <w:rFonts w:hint="eastAsia" w:ascii="宋体" w:hAnsi="宋体"/>
          <w:sz w:val="24"/>
        </w:rPr>
        <w:t>（3）单GPU(物理引擎)算法规格：</w:t>
      </w:r>
    </w:p>
    <w:p w14:paraId="3C60C278">
      <w:pPr>
        <w:spacing w:line="360" w:lineRule="auto"/>
        <w:ind w:firstLine="480" w:firstLineChars="200"/>
        <w:contextualSpacing/>
        <w:rPr>
          <w:rFonts w:ascii="宋体" w:hAnsi="宋体"/>
          <w:sz w:val="24"/>
        </w:rPr>
      </w:pPr>
      <w:r>
        <w:rPr>
          <w:rFonts w:hint="eastAsia" w:ascii="宋体" w:hAnsi="宋体"/>
          <w:sz w:val="24"/>
        </w:rPr>
        <w:t>（4）实时视频模式 ：单GPU最大4路（400W及以下最大4路，5-600W最大2路，7-800W最大1路），可被1-4个虚拟引擎分摊</w:t>
      </w:r>
    </w:p>
    <w:p w14:paraId="2DF9A610">
      <w:pPr>
        <w:spacing w:line="360" w:lineRule="auto"/>
        <w:ind w:firstLine="480" w:firstLineChars="200"/>
        <w:contextualSpacing/>
        <w:rPr>
          <w:rFonts w:ascii="宋体" w:hAnsi="宋体"/>
          <w:sz w:val="24"/>
        </w:rPr>
      </w:pPr>
      <w:r>
        <w:rPr>
          <w:rFonts w:hint="eastAsia" w:ascii="宋体" w:hAnsi="宋体"/>
          <w:sz w:val="24"/>
        </w:rPr>
        <w:t>（5）轮巡视频模式 ：单GPU最大16路，间隔10-3600秒，可被1-4个虚拟引擎分摊</w:t>
      </w:r>
    </w:p>
    <w:p w14:paraId="0DCF5BC0">
      <w:pPr>
        <w:spacing w:line="360" w:lineRule="auto"/>
        <w:ind w:firstLine="480" w:firstLineChars="200"/>
        <w:contextualSpacing/>
        <w:rPr>
          <w:rFonts w:ascii="宋体" w:hAnsi="宋体"/>
          <w:sz w:val="24"/>
        </w:rPr>
      </w:pPr>
      <w:r>
        <w:rPr>
          <w:rFonts w:hint="eastAsia" w:ascii="宋体" w:hAnsi="宋体"/>
          <w:sz w:val="24"/>
        </w:rPr>
        <w:t>（6）定时抓图模式 ：单GPU最大16路，间隔3-3600秒，可被1-4个虚拟引擎分摊</w:t>
      </w:r>
    </w:p>
    <w:p w14:paraId="4A352F00">
      <w:pPr>
        <w:spacing w:line="360" w:lineRule="auto"/>
        <w:ind w:firstLine="480"/>
        <w:contextualSpacing/>
        <w:rPr>
          <w:rFonts w:ascii="宋体" w:hAnsi="宋体"/>
          <w:b/>
          <w:bCs/>
          <w:sz w:val="24"/>
        </w:rPr>
      </w:pPr>
      <w:r>
        <w:rPr>
          <w:rFonts w:hint="eastAsia" w:ascii="宋体" w:hAnsi="宋体"/>
          <w:b/>
          <w:bCs/>
          <w:sz w:val="24"/>
        </w:rPr>
        <w:t>2.人员监管</w:t>
      </w:r>
    </w:p>
    <w:p w14:paraId="5850DEA3">
      <w:pPr>
        <w:spacing w:line="360" w:lineRule="auto"/>
        <w:ind w:firstLine="480"/>
        <w:contextualSpacing/>
        <w:rPr>
          <w:rFonts w:ascii="宋体" w:hAnsi="宋体"/>
          <w:b/>
          <w:bCs/>
          <w:sz w:val="24"/>
        </w:rPr>
      </w:pPr>
      <w:r>
        <w:rPr>
          <w:rFonts w:hint="eastAsia" w:ascii="宋体" w:hAnsi="宋体"/>
          <w:b/>
          <w:bCs/>
          <w:sz w:val="24"/>
        </w:rPr>
        <w:t>（1）门禁监控：进入实验室后通过人脸识别+刷卡双认证进行签到/离开打卡考勤，形成人员的实验室电子标签，方便实时记录实验室的使用情况。</w:t>
      </w:r>
    </w:p>
    <w:p w14:paraId="61F1CD8D">
      <w:pPr>
        <w:spacing w:line="360" w:lineRule="auto"/>
        <w:ind w:firstLine="480"/>
        <w:contextualSpacing/>
        <w:rPr>
          <w:rFonts w:ascii="宋体" w:hAnsi="宋体"/>
          <w:b/>
          <w:bCs/>
          <w:sz w:val="24"/>
        </w:rPr>
      </w:pPr>
      <w:r>
        <w:rPr>
          <w:rFonts w:hint="eastAsia" w:ascii="宋体" w:hAnsi="宋体"/>
          <w:b/>
          <w:bCs/>
          <w:sz w:val="24"/>
        </w:rPr>
        <w:t>智能门禁2台，需求如下：</w:t>
      </w:r>
    </w:p>
    <w:p w14:paraId="7CDE967D">
      <w:pPr>
        <w:spacing w:line="360" w:lineRule="auto"/>
        <w:ind w:firstLine="480"/>
        <w:contextualSpacing/>
        <w:rPr>
          <w:rFonts w:ascii="宋体" w:hAnsi="宋体"/>
          <w:sz w:val="24"/>
        </w:rPr>
      </w:pPr>
      <w:r>
        <w:rPr>
          <w:rFonts w:hint="eastAsia" w:ascii="宋体" w:hAnsi="宋体"/>
          <w:sz w:val="24"/>
        </w:rPr>
        <w:t>支持接口 ：至少包含：485、韦根、Wifi、以太网</w:t>
      </w:r>
    </w:p>
    <w:p w14:paraId="7655C29C">
      <w:pPr>
        <w:spacing w:line="360" w:lineRule="auto"/>
        <w:ind w:firstLine="480"/>
        <w:contextualSpacing/>
        <w:rPr>
          <w:rFonts w:ascii="宋体" w:hAnsi="宋体"/>
          <w:sz w:val="24"/>
        </w:rPr>
      </w:pPr>
      <w:r>
        <w:rPr>
          <w:rFonts w:hint="eastAsia" w:ascii="宋体" w:hAnsi="宋体"/>
          <w:sz w:val="24"/>
        </w:rPr>
        <w:t>指示方式：至少包含：红光绿光指示灯，蜂鸣器，语音播报</w:t>
      </w:r>
    </w:p>
    <w:p w14:paraId="5A91D0B9">
      <w:pPr>
        <w:spacing w:line="360" w:lineRule="auto"/>
        <w:ind w:firstLine="480"/>
        <w:contextualSpacing/>
        <w:rPr>
          <w:rFonts w:ascii="宋体" w:hAnsi="宋体"/>
          <w:sz w:val="24"/>
        </w:rPr>
      </w:pPr>
      <w:r>
        <w:rPr>
          <w:rFonts w:hint="eastAsia" w:ascii="宋体" w:hAnsi="宋体"/>
          <w:sz w:val="24"/>
        </w:rPr>
        <w:t>图像传感器 30 万像素 CMOS 传感片</w:t>
      </w:r>
    </w:p>
    <w:p w14:paraId="1CE7F788">
      <w:pPr>
        <w:spacing w:line="360" w:lineRule="auto"/>
        <w:ind w:firstLine="480"/>
        <w:contextualSpacing/>
        <w:rPr>
          <w:rFonts w:ascii="宋体" w:hAnsi="宋体"/>
          <w:sz w:val="24"/>
        </w:rPr>
      </w:pPr>
      <w:r>
        <w:rPr>
          <w:rFonts w:hint="eastAsia" w:ascii="宋体" w:hAnsi="宋体"/>
          <w:sz w:val="24"/>
        </w:rPr>
        <w:t>最大分辨率 640*480</w:t>
      </w:r>
    </w:p>
    <w:p w14:paraId="2D27630C">
      <w:pPr>
        <w:spacing w:line="360" w:lineRule="auto"/>
        <w:ind w:firstLine="480"/>
        <w:contextualSpacing/>
        <w:rPr>
          <w:rFonts w:ascii="宋体" w:hAnsi="宋体"/>
          <w:sz w:val="24"/>
        </w:rPr>
      </w:pPr>
      <w:r>
        <w:rPr>
          <w:rFonts w:hint="eastAsia" w:ascii="宋体" w:hAnsi="宋体"/>
          <w:sz w:val="24"/>
        </w:rPr>
        <w:t xml:space="preserve">屏幕尺寸：不得低于2.4英寸  </w:t>
      </w:r>
    </w:p>
    <w:p w14:paraId="54DF7A76">
      <w:pPr>
        <w:spacing w:line="360" w:lineRule="auto"/>
        <w:ind w:firstLine="480"/>
        <w:contextualSpacing/>
        <w:rPr>
          <w:rFonts w:ascii="宋体" w:hAnsi="宋体"/>
          <w:sz w:val="24"/>
        </w:rPr>
      </w:pPr>
      <w:r>
        <w:rPr>
          <w:rFonts w:hint="eastAsia" w:ascii="宋体" w:hAnsi="宋体"/>
          <w:sz w:val="24"/>
        </w:rPr>
        <w:t>屏幕分辨率：不得低于240*320（RGB）</w:t>
      </w:r>
    </w:p>
    <w:p w14:paraId="4D2F6E1E">
      <w:pPr>
        <w:spacing w:line="360" w:lineRule="auto"/>
        <w:ind w:firstLine="480"/>
        <w:contextualSpacing/>
        <w:rPr>
          <w:rFonts w:ascii="宋体" w:hAnsi="宋体"/>
          <w:sz w:val="24"/>
        </w:rPr>
      </w:pPr>
      <w:r>
        <w:rPr>
          <w:rFonts w:hint="eastAsia" w:ascii="宋体" w:hAnsi="宋体"/>
          <w:sz w:val="24"/>
        </w:rPr>
        <w:t>解码支持：必须支持手机屏幕</w:t>
      </w:r>
    </w:p>
    <w:p w14:paraId="1836DB81">
      <w:pPr>
        <w:spacing w:line="360" w:lineRule="auto"/>
        <w:ind w:firstLine="480"/>
        <w:contextualSpacing/>
        <w:rPr>
          <w:rFonts w:ascii="宋体" w:hAnsi="宋体"/>
          <w:sz w:val="24"/>
        </w:rPr>
      </w:pPr>
      <w:r>
        <w:rPr>
          <w:rFonts w:hint="eastAsia" w:ascii="宋体" w:hAnsi="宋体"/>
          <w:sz w:val="24"/>
        </w:rPr>
        <w:t>读取速度：不得低于100ms每次（平均）,需要支持连续读取</w:t>
      </w:r>
    </w:p>
    <w:p w14:paraId="78EF7258">
      <w:pPr>
        <w:spacing w:line="360" w:lineRule="auto"/>
        <w:ind w:firstLine="480"/>
        <w:contextualSpacing/>
        <w:rPr>
          <w:rFonts w:ascii="宋体" w:hAnsi="宋体"/>
          <w:sz w:val="24"/>
        </w:rPr>
      </w:pPr>
      <w:r>
        <w:rPr>
          <w:rFonts w:hint="eastAsia" w:ascii="宋体" w:hAnsi="宋体"/>
          <w:sz w:val="24"/>
        </w:rPr>
        <w:t>识别卡类型：必须包含：ISO 14443A 协议卡、ISO 14443B 协议卡、身份证</w:t>
      </w:r>
    </w:p>
    <w:p w14:paraId="7DDC4EEA">
      <w:pPr>
        <w:spacing w:line="360" w:lineRule="auto"/>
        <w:ind w:firstLine="480"/>
        <w:contextualSpacing/>
        <w:rPr>
          <w:rFonts w:ascii="宋体" w:hAnsi="宋体"/>
          <w:sz w:val="24"/>
        </w:rPr>
      </w:pPr>
      <w:r>
        <w:rPr>
          <w:rFonts w:hint="eastAsia" w:ascii="宋体" w:hAnsi="宋体"/>
          <w:sz w:val="24"/>
        </w:rPr>
        <w:t>采用高强度铝合金锁体外壳,配套U型安装支架</w:t>
      </w:r>
    </w:p>
    <w:p w14:paraId="6E448822">
      <w:pPr>
        <w:spacing w:line="360" w:lineRule="auto"/>
        <w:ind w:firstLine="480"/>
        <w:contextualSpacing/>
        <w:rPr>
          <w:rFonts w:ascii="宋体" w:hAnsi="宋体"/>
          <w:sz w:val="24"/>
        </w:rPr>
      </w:pPr>
      <w:r>
        <w:rPr>
          <w:rFonts w:hint="eastAsia" w:ascii="宋体" w:hAnsi="宋体"/>
          <w:sz w:val="24"/>
        </w:rPr>
        <w:t xml:space="preserve">尺寸: 250*25*45mm (长*宽*高)  </w:t>
      </w:r>
    </w:p>
    <w:p w14:paraId="1809F270">
      <w:pPr>
        <w:spacing w:line="360" w:lineRule="auto"/>
        <w:ind w:firstLine="480"/>
        <w:contextualSpacing/>
        <w:rPr>
          <w:rFonts w:ascii="宋体" w:hAnsi="宋体"/>
          <w:sz w:val="24"/>
        </w:rPr>
      </w:pPr>
      <w:r>
        <w:rPr>
          <w:rFonts w:hint="eastAsia" w:ascii="宋体" w:hAnsi="宋体"/>
          <w:sz w:val="24"/>
        </w:rPr>
        <w:t xml:space="preserve">电压: DC12V   </w:t>
      </w:r>
    </w:p>
    <w:p w14:paraId="4DC88203">
      <w:pPr>
        <w:spacing w:line="360" w:lineRule="auto"/>
        <w:ind w:firstLine="480"/>
        <w:contextualSpacing/>
        <w:rPr>
          <w:rFonts w:ascii="宋体" w:hAnsi="宋体"/>
          <w:sz w:val="24"/>
        </w:rPr>
      </w:pPr>
      <w:r>
        <w:rPr>
          <w:rFonts w:hint="eastAsia" w:ascii="宋体" w:hAnsi="宋体"/>
          <w:sz w:val="24"/>
        </w:rPr>
        <w:t xml:space="preserve">电流: 500mA  </w:t>
      </w:r>
    </w:p>
    <w:p w14:paraId="11F572E2">
      <w:pPr>
        <w:spacing w:line="360" w:lineRule="auto"/>
        <w:ind w:firstLine="480"/>
        <w:contextualSpacing/>
        <w:rPr>
          <w:rFonts w:ascii="宋体" w:hAnsi="宋体"/>
          <w:sz w:val="24"/>
        </w:rPr>
      </w:pPr>
      <w:r>
        <w:rPr>
          <w:rFonts w:hint="eastAsia" w:ascii="宋体" w:hAnsi="宋体"/>
          <w:sz w:val="24"/>
        </w:rPr>
        <w:t xml:space="preserve">吸力: 280KG  </w:t>
      </w:r>
    </w:p>
    <w:p w14:paraId="700A6661">
      <w:pPr>
        <w:spacing w:line="360" w:lineRule="auto"/>
        <w:ind w:firstLine="480"/>
        <w:contextualSpacing/>
        <w:rPr>
          <w:rFonts w:ascii="宋体" w:hAnsi="宋体"/>
          <w:sz w:val="24"/>
        </w:rPr>
      </w:pPr>
      <w:r>
        <w:rPr>
          <w:rFonts w:hint="eastAsia" w:ascii="宋体" w:hAnsi="宋体"/>
          <w:sz w:val="24"/>
        </w:rPr>
        <w:t xml:space="preserve">类型:断电开锁  </w:t>
      </w:r>
    </w:p>
    <w:p w14:paraId="123A779A">
      <w:pPr>
        <w:spacing w:line="360" w:lineRule="auto"/>
        <w:ind w:firstLine="480"/>
        <w:contextualSpacing/>
        <w:rPr>
          <w:rFonts w:ascii="宋体" w:hAnsi="宋体"/>
          <w:sz w:val="24"/>
        </w:rPr>
      </w:pPr>
      <w:r>
        <w:rPr>
          <w:rFonts w:hint="eastAsia" w:ascii="宋体" w:hAnsi="宋体"/>
          <w:sz w:val="24"/>
        </w:rPr>
        <w:t xml:space="preserve">接口:五线12V/GND/COM/NO/NC  </w:t>
      </w:r>
    </w:p>
    <w:p w14:paraId="590CE147">
      <w:pPr>
        <w:spacing w:line="360" w:lineRule="auto"/>
        <w:ind w:firstLine="480"/>
        <w:contextualSpacing/>
        <w:rPr>
          <w:rFonts w:ascii="宋体" w:hAnsi="宋体"/>
          <w:sz w:val="24"/>
        </w:rPr>
      </w:pPr>
      <w:r>
        <w:rPr>
          <w:rFonts w:hint="eastAsia" w:ascii="宋体" w:hAnsi="宋体"/>
          <w:sz w:val="24"/>
        </w:rPr>
        <w:t>指示灯:标配LED红色/绿色</w:t>
      </w:r>
    </w:p>
    <w:p w14:paraId="0297ED6B">
      <w:pPr>
        <w:spacing w:line="360" w:lineRule="auto"/>
        <w:ind w:firstLine="480"/>
        <w:contextualSpacing/>
        <w:rPr>
          <w:rFonts w:ascii="宋体" w:hAnsi="宋体"/>
          <w:sz w:val="24"/>
        </w:rPr>
      </w:pPr>
      <w:r>
        <w:rPr>
          <w:rFonts w:hint="eastAsia" w:ascii="宋体" w:hAnsi="宋体"/>
          <w:sz w:val="24"/>
        </w:rPr>
        <w:t>信号反馈:标配常开/常闭</w:t>
      </w:r>
    </w:p>
    <w:p w14:paraId="7E2919DD">
      <w:pPr>
        <w:spacing w:line="360" w:lineRule="auto"/>
        <w:ind w:firstLine="480"/>
        <w:contextualSpacing/>
        <w:rPr>
          <w:rFonts w:ascii="宋体" w:hAnsi="宋体"/>
          <w:b/>
          <w:bCs/>
          <w:sz w:val="24"/>
        </w:rPr>
      </w:pPr>
      <w:r>
        <w:rPr>
          <w:rFonts w:ascii="宋体" w:hAnsi="宋体"/>
          <w:b/>
          <w:bCs/>
          <w:sz w:val="24"/>
        </w:rPr>
        <w:t>2</w:t>
      </w:r>
      <w:r>
        <w:rPr>
          <w:rFonts w:hint="eastAsia" w:ascii="宋体" w:hAnsi="宋体"/>
          <w:b/>
          <w:bCs/>
          <w:sz w:val="24"/>
        </w:rPr>
        <w:t>.设施监管</w:t>
      </w:r>
    </w:p>
    <w:p w14:paraId="054482DC">
      <w:pPr>
        <w:spacing w:line="360" w:lineRule="auto"/>
        <w:ind w:firstLine="480"/>
        <w:contextualSpacing/>
        <w:rPr>
          <w:rFonts w:ascii="宋体" w:hAnsi="宋体"/>
          <w:b/>
          <w:bCs/>
          <w:sz w:val="24"/>
        </w:rPr>
      </w:pPr>
      <w:r>
        <w:rPr>
          <w:rFonts w:hint="eastAsia" w:ascii="宋体" w:hAnsi="宋体"/>
          <w:b/>
          <w:bCs/>
          <w:sz w:val="24"/>
        </w:rPr>
        <w:t>（1）仪器管理：设备可能的条件下，远程监管实验室仪器、通风橱等运转情况，可及时开关，可实时在线保存仪器设备使用记录。同时兼顾后期新进大型仪器设备（3</w:t>
      </w:r>
      <w:r>
        <w:rPr>
          <w:rFonts w:ascii="宋体" w:hAnsi="宋体"/>
          <w:b/>
          <w:bCs/>
          <w:sz w:val="24"/>
        </w:rPr>
        <w:t>0</w:t>
      </w:r>
      <w:r>
        <w:rPr>
          <w:rFonts w:hint="eastAsia" w:ascii="宋体" w:hAnsi="宋体"/>
          <w:b/>
          <w:bCs/>
          <w:sz w:val="24"/>
        </w:rPr>
        <w:t>万以上）的使用监管。</w:t>
      </w:r>
    </w:p>
    <w:p w14:paraId="7AB4767D">
      <w:pPr>
        <w:spacing w:line="360" w:lineRule="auto"/>
        <w:ind w:firstLine="480"/>
        <w:contextualSpacing/>
        <w:rPr>
          <w:rFonts w:ascii="宋体" w:hAnsi="宋体"/>
          <w:b/>
          <w:bCs/>
          <w:sz w:val="24"/>
        </w:rPr>
      </w:pPr>
      <w:r>
        <w:rPr>
          <w:rFonts w:hint="eastAsia" w:ascii="宋体" w:hAnsi="宋体"/>
          <w:b/>
          <w:bCs/>
          <w:sz w:val="24"/>
        </w:rPr>
        <w:t>智能电源4台，需求如下：</w:t>
      </w:r>
    </w:p>
    <w:p w14:paraId="18C2E0C3">
      <w:pPr>
        <w:spacing w:line="360" w:lineRule="auto"/>
        <w:ind w:firstLine="480"/>
        <w:contextualSpacing/>
        <w:rPr>
          <w:rFonts w:ascii="宋体" w:hAnsi="宋体"/>
          <w:sz w:val="24"/>
        </w:rPr>
      </w:pPr>
      <w:r>
        <w:rPr>
          <w:rFonts w:hint="eastAsia" w:ascii="宋体" w:hAnsi="宋体"/>
          <w:sz w:val="24"/>
        </w:rPr>
        <w:t>1）用于-仪器管理、电源开关照明、插座的电源远程管理</w:t>
      </w:r>
    </w:p>
    <w:p w14:paraId="0D0A511A">
      <w:pPr>
        <w:spacing w:line="360" w:lineRule="auto"/>
        <w:ind w:firstLine="480"/>
        <w:contextualSpacing/>
        <w:rPr>
          <w:rFonts w:ascii="宋体" w:hAnsi="宋体"/>
          <w:sz w:val="24"/>
        </w:rPr>
      </w:pPr>
      <w:r>
        <w:rPr>
          <w:rFonts w:hint="eastAsia" w:ascii="宋体" w:hAnsi="宋体"/>
          <w:sz w:val="24"/>
        </w:rPr>
        <w:t>2）设备支持接口:TCP/IP接口、输入接口(4路)、输出接口(4路)、网络接口、供电电源接口；</w:t>
      </w:r>
    </w:p>
    <w:p w14:paraId="1AFE180C">
      <w:pPr>
        <w:spacing w:line="360" w:lineRule="auto"/>
        <w:ind w:firstLine="480"/>
        <w:contextualSpacing/>
        <w:rPr>
          <w:rFonts w:ascii="宋体" w:hAnsi="宋体"/>
          <w:sz w:val="24"/>
        </w:rPr>
      </w:pPr>
      <w:r>
        <w:rPr>
          <w:rFonts w:hint="eastAsia" w:ascii="宋体" w:hAnsi="宋体"/>
          <w:sz w:val="24"/>
        </w:rPr>
        <w:t>3）1-4通道每路独立输出，可接不同负载设备，比如220V电灯，24V电磁阀；</w:t>
      </w:r>
    </w:p>
    <w:p w14:paraId="66DC2E9D">
      <w:pPr>
        <w:spacing w:line="360" w:lineRule="auto"/>
        <w:ind w:firstLine="480"/>
        <w:contextualSpacing/>
        <w:rPr>
          <w:rFonts w:ascii="宋体" w:hAnsi="宋体"/>
          <w:sz w:val="24"/>
        </w:rPr>
      </w:pPr>
      <w:r>
        <w:rPr>
          <w:rFonts w:hint="eastAsia" w:ascii="宋体" w:hAnsi="宋体"/>
          <w:sz w:val="24"/>
        </w:rPr>
        <w:t>4）供电电压:12V；</w:t>
      </w:r>
    </w:p>
    <w:p w14:paraId="10232A1D">
      <w:pPr>
        <w:spacing w:line="360" w:lineRule="auto"/>
        <w:ind w:firstLine="480"/>
        <w:contextualSpacing/>
        <w:rPr>
          <w:rFonts w:ascii="宋体" w:hAnsi="宋体"/>
          <w:sz w:val="24"/>
        </w:rPr>
      </w:pPr>
      <w:r>
        <w:rPr>
          <w:rFonts w:hint="eastAsia" w:ascii="宋体" w:hAnsi="宋体"/>
          <w:sz w:val="24"/>
        </w:rPr>
        <w:t>5）通讯方式:RJ45-TCP/IP；</w:t>
      </w:r>
    </w:p>
    <w:p w14:paraId="0B8AD857">
      <w:pPr>
        <w:spacing w:line="360" w:lineRule="auto"/>
        <w:ind w:firstLine="480"/>
        <w:contextualSpacing/>
        <w:rPr>
          <w:rFonts w:ascii="宋体" w:hAnsi="宋体"/>
          <w:sz w:val="24"/>
        </w:rPr>
      </w:pPr>
      <w:r>
        <w:rPr>
          <w:rFonts w:hint="eastAsia" w:ascii="宋体" w:hAnsi="宋体"/>
          <w:sz w:val="24"/>
        </w:rPr>
        <w:t>6）通讯协议:Modbus。</w:t>
      </w:r>
    </w:p>
    <w:p w14:paraId="007BE57A">
      <w:pPr>
        <w:spacing w:line="360" w:lineRule="auto"/>
        <w:ind w:firstLine="480"/>
        <w:contextualSpacing/>
        <w:rPr>
          <w:rFonts w:ascii="宋体" w:hAnsi="宋体"/>
          <w:b/>
          <w:bCs/>
          <w:sz w:val="24"/>
        </w:rPr>
      </w:pPr>
      <w:r>
        <w:rPr>
          <w:rFonts w:hint="eastAsia" w:ascii="宋体" w:hAnsi="宋体"/>
          <w:b/>
          <w:bCs/>
          <w:sz w:val="24"/>
        </w:rPr>
        <w:t>（2）水电安全管理：使用设备对房间漏水进行感知，当实验室出现漏水时，可第一时间通知管理人员进行紧急处理。以智能空开及其配套电源模块、通讯网关为硬件基础，将照明、插座、空调等类型负载用电开关回路纳入监管。</w:t>
      </w:r>
    </w:p>
    <w:p w14:paraId="3F7EABCE">
      <w:pPr>
        <w:spacing w:line="360" w:lineRule="auto"/>
        <w:ind w:firstLine="480"/>
        <w:contextualSpacing/>
        <w:rPr>
          <w:rFonts w:ascii="宋体" w:hAnsi="宋体"/>
          <w:b/>
          <w:bCs/>
          <w:sz w:val="24"/>
        </w:rPr>
      </w:pPr>
      <w:r>
        <w:rPr>
          <w:rFonts w:hint="eastAsia" w:ascii="宋体" w:hAnsi="宋体"/>
          <w:b/>
          <w:bCs/>
          <w:sz w:val="24"/>
        </w:rPr>
        <w:t>漏水感知1套，需求如下：</w:t>
      </w:r>
    </w:p>
    <w:p w14:paraId="4DCE192F">
      <w:pPr>
        <w:spacing w:line="360" w:lineRule="auto"/>
        <w:ind w:firstLine="480"/>
        <w:contextualSpacing/>
        <w:rPr>
          <w:rFonts w:ascii="宋体" w:hAnsi="宋体"/>
          <w:sz w:val="24"/>
        </w:rPr>
      </w:pPr>
      <w:r>
        <w:rPr>
          <w:rFonts w:hint="eastAsia" w:ascii="宋体" w:hAnsi="宋体"/>
          <w:sz w:val="24"/>
        </w:rPr>
        <w:t>1）可定位检测</w:t>
      </w:r>
    </w:p>
    <w:p w14:paraId="2AD1424C">
      <w:pPr>
        <w:spacing w:line="360" w:lineRule="auto"/>
        <w:ind w:firstLine="480"/>
        <w:contextualSpacing/>
        <w:rPr>
          <w:rFonts w:ascii="宋体" w:hAnsi="宋体"/>
          <w:sz w:val="24"/>
        </w:rPr>
      </w:pPr>
      <w:r>
        <w:rPr>
          <w:rFonts w:hint="eastAsia" w:ascii="宋体" w:hAnsi="宋体"/>
          <w:sz w:val="24"/>
        </w:rPr>
        <w:t>2）控制方式：继电器控制</w:t>
      </w:r>
    </w:p>
    <w:p w14:paraId="68CA9981">
      <w:pPr>
        <w:spacing w:line="360" w:lineRule="auto"/>
        <w:ind w:firstLine="480"/>
        <w:contextualSpacing/>
        <w:rPr>
          <w:rFonts w:ascii="宋体" w:hAnsi="宋体"/>
          <w:sz w:val="24"/>
        </w:rPr>
      </w:pPr>
      <w:r>
        <w:rPr>
          <w:rFonts w:hint="eastAsia" w:ascii="宋体" w:hAnsi="宋体"/>
          <w:sz w:val="24"/>
        </w:rPr>
        <w:t>3）液晶屏显</w:t>
      </w:r>
    </w:p>
    <w:p w14:paraId="30139B83">
      <w:pPr>
        <w:spacing w:line="360" w:lineRule="auto"/>
        <w:ind w:firstLine="480"/>
        <w:contextualSpacing/>
        <w:rPr>
          <w:rFonts w:ascii="宋体" w:hAnsi="宋体"/>
          <w:sz w:val="24"/>
        </w:rPr>
      </w:pPr>
      <w:r>
        <w:rPr>
          <w:rFonts w:hint="eastAsia" w:ascii="宋体" w:hAnsi="宋体"/>
          <w:sz w:val="24"/>
        </w:rPr>
        <w:t>4）多重报警</w:t>
      </w:r>
    </w:p>
    <w:p w14:paraId="2A73EBBC">
      <w:pPr>
        <w:spacing w:line="360" w:lineRule="auto"/>
        <w:ind w:firstLine="480"/>
        <w:contextualSpacing/>
        <w:rPr>
          <w:rFonts w:ascii="宋体" w:hAnsi="宋体"/>
          <w:sz w:val="24"/>
        </w:rPr>
      </w:pPr>
      <w:r>
        <w:rPr>
          <w:rFonts w:hint="eastAsia" w:ascii="宋体" w:hAnsi="宋体"/>
          <w:sz w:val="24"/>
        </w:rPr>
        <w:t>5）自检功能</w:t>
      </w:r>
    </w:p>
    <w:p w14:paraId="31BE2B97">
      <w:pPr>
        <w:spacing w:line="360" w:lineRule="auto"/>
        <w:ind w:firstLine="480"/>
        <w:contextualSpacing/>
        <w:rPr>
          <w:rFonts w:ascii="宋体" w:hAnsi="宋体"/>
          <w:sz w:val="24"/>
        </w:rPr>
      </w:pPr>
      <w:r>
        <w:rPr>
          <w:rFonts w:hint="eastAsia" w:ascii="宋体" w:hAnsi="宋体"/>
          <w:sz w:val="24"/>
        </w:rPr>
        <w:t>6）485信号</w:t>
      </w:r>
    </w:p>
    <w:p w14:paraId="219A51D6">
      <w:pPr>
        <w:spacing w:line="360" w:lineRule="auto"/>
        <w:ind w:firstLine="480"/>
        <w:contextualSpacing/>
        <w:rPr>
          <w:rFonts w:ascii="宋体" w:hAnsi="宋体"/>
          <w:sz w:val="24"/>
        </w:rPr>
      </w:pPr>
      <w:r>
        <w:rPr>
          <w:rFonts w:hint="eastAsia" w:ascii="宋体" w:hAnsi="宋体"/>
          <w:sz w:val="24"/>
        </w:rPr>
        <w:t>7）7.5米线</w:t>
      </w:r>
    </w:p>
    <w:p w14:paraId="7448A2FB">
      <w:pPr>
        <w:spacing w:line="360" w:lineRule="auto"/>
        <w:ind w:firstLine="480"/>
        <w:contextualSpacing/>
        <w:rPr>
          <w:rFonts w:ascii="宋体" w:hAnsi="宋体"/>
          <w:b/>
          <w:bCs/>
          <w:sz w:val="24"/>
        </w:rPr>
      </w:pPr>
      <w:r>
        <w:rPr>
          <w:rFonts w:hint="eastAsia" w:ascii="宋体" w:hAnsi="宋体"/>
          <w:b/>
          <w:bCs/>
          <w:sz w:val="24"/>
        </w:rPr>
        <w:t>空调控制器2套，需求如下：</w:t>
      </w:r>
    </w:p>
    <w:p w14:paraId="160DAFEB">
      <w:pPr>
        <w:spacing w:line="360" w:lineRule="auto"/>
        <w:ind w:firstLine="480"/>
        <w:contextualSpacing/>
        <w:rPr>
          <w:rFonts w:ascii="宋体" w:hAnsi="宋体"/>
          <w:sz w:val="24"/>
        </w:rPr>
      </w:pPr>
      <w:r>
        <w:rPr>
          <w:rFonts w:hint="eastAsia" w:ascii="宋体" w:hAnsi="宋体"/>
          <w:sz w:val="24"/>
        </w:rPr>
        <w:t>1）供电：DC 10~30V</w:t>
      </w:r>
    </w:p>
    <w:p w14:paraId="0AB0809A">
      <w:pPr>
        <w:spacing w:line="360" w:lineRule="auto"/>
        <w:ind w:firstLine="480"/>
        <w:contextualSpacing/>
        <w:rPr>
          <w:rFonts w:ascii="宋体" w:hAnsi="宋体"/>
          <w:sz w:val="24"/>
        </w:rPr>
      </w:pPr>
      <w:r>
        <w:rPr>
          <w:rFonts w:hint="eastAsia" w:ascii="宋体" w:hAnsi="宋体"/>
          <w:sz w:val="24"/>
        </w:rPr>
        <w:t>2）功耗：1.2W</w:t>
      </w:r>
    </w:p>
    <w:p w14:paraId="49A315F2">
      <w:pPr>
        <w:spacing w:line="360" w:lineRule="auto"/>
        <w:ind w:firstLine="480"/>
        <w:contextualSpacing/>
        <w:rPr>
          <w:rFonts w:ascii="宋体" w:hAnsi="宋体"/>
          <w:sz w:val="24"/>
        </w:rPr>
      </w:pPr>
      <w:r>
        <w:rPr>
          <w:rFonts w:hint="eastAsia" w:ascii="宋体" w:hAnsi="宋体"/>
          <w:sz w:val="24"/>
        </w:rPr>
        <w:t>3）使用环境：-20℃~+60℃，0%RH~95%RH 非结露</w:t>
      </w:r>
    </w:p>
    <w:p w14:paraId="66AA9115">
      <w:pPr>
        <w:spacing w:line="360" w:lineRule="auto"/>
        <w:ind w:firstLine="480"/>
        <w:contextualSpacing/>
        <w:rPr>
          <w:rFonts w:ascii="宋体" w:hAnsi="宋体"/>
          <w:sz w:val="24"/>
        </w:rPr>
      </w:pPr>
      <w:r>
        <w:rPr>
          <w:rFonts w:hint="eastAsia" w:ascii="宋体" w:hAnsi="宋体"/>
          <w:sz w:val="24"/>
        </w:rPr>
        <w:t>4）通信接口：RS485；标准的MODBUS-RTU协议；通信波特率：2400、4800、9600可设</w:t>
      </w:r>
    </w:p>
    <w:p w14:paraId="5CDB5307">
      <w:pPr>
        <w:spacing w:line="360" w:lineRule="auto"/>
        <w:ind w:firstLine="480"/>
        <w:contextualSpacing/>
        <w:rPr>
          <w:rFonts w:ascii="宋体" w:hAnsi="宋体"/>
          <w:sz w:val="24"/>
        </w:rPr>
      </w:pPr>
      <w:r>
        <w:rPr>
          <w:rFonts w:hint="eastAsia" w:ascii="宋体" w:hAnsi="宋体"/>
          <w:sz w:val="24"/>
        </w:rPr>
        <w:t>5）红外口：可学习99%遥控器，并成功对空调进行控制</w:t>
      </w:r>
    </w:p>
    <w:p w14:paraId="35FAA655">
      <w:pPr>
        <w:spacing w:line="360" w:lineRule="auto"/>
        <w:ind w:firstLine="480"/>
        <w:contextualSpacing/>
        <w:rPr>
          <w:rFonts w:ascii="宋体" w:hAnsi="宋体"/>
          <w:b/>
          <w:bCs/>
          <w:sz w:val="24"/>
        </w:rPr>
      </w:pPr>
      <w:r>
        <w:rPr>
          <w:rFonts w:ascii="宋体" w:hAnsi="宋体"/>
          <w:b/>
          <w:bCs/>
          <w:sz w:val="24"/>
        </w:rPr>
        <w:t>3</w:t>
      </w:r>
      <w:r>
        <w:rPr>
          <w:rFonts w:hint="eastAsia" w:ascii="宋体" w:hAnsi="宋体"/>
          <w:b/>
          <w:bCs/>
          <w:sz w:val="24"/>
        </w:rPr>
        <w:t>.环境监管</w:t>
      </w:r>
    </w:p>
    <w:p w14:paraId="22F8BCDA">
      <w:pPr>
        <w:spacing w:line="360" w:lineRule="auto"/>
        <w:ind w:firstLine="480"/>
        <w:contextualSpacing/>
        <w:rPr>
          <w:rFonts w:ascii="宋体" w:hAnsi="宋体"/>
          <w:b/>
          <w:bCs/>
          <w:sz w:val="24"/>
        </w:rPr>
      </w:pPr>
      <w:r>
        <w:rPr>
          <w:rFonts w:hint="eastAsia" w:ascii="宋体" w:hAnsi="宋体"/>
          <w:b/>
          <w:bCs/>
          <w:sz w:val="24"/>
        </w:rPr>
        <w:t>（1）环境温湿度监控：通过温湿度传感器对房间内的温度和湿度进行实时监测，当温度或者湿度其中任何一个检测值达到预先设定的报警规则，产品本地声光报警启动，同时远程通知管理员。</w:t>
      </w:r>
    </w:p>
    <w:p w14:paraId="3612DAC7">
      <w:pPr>
        <w:spacing w:line="360" w:lineRule="auto"/>
        <w:ind w:firstLine="480"/>
        <w:contextualSpacing/>
        <w:rPr>
          <w:rFonts w:ascii="宋体" w:hAnsi="宋体"/>
          <w:b/>
          <w:bCs/>
          <w:sz w:val="24"/>
        </w:rPr>
      </w:pPr>
      <w:r>
        <w:rPr>
          <w:rFonts w:hint="eastAsia" w:ascii="宋体" w:hAnsi="宋体"/>
          <w:b/>
          <w:bCs/>
          <w:sz w:val="24"/>
        </w:rPr>
        <w:t>温度+湿度传感器2个，需求如下：</w:t>
      </w:r>
    </w:p>
    <w:p w14:paraId="45843C29">
      <w:pPr>
        <w:spacing w:line="360" w:lineRule="auto"/>
        <w:ind w:firstLine="480"/>
        <w:contextualSpacing/>
        <w:rPr>
          <w:rFonts w:ascii="宋体" w:hAnsi="宋体"/>
          <w:sz w:val="24"/>
        </w:rPr>
      </w:pPr>
      <w:r>
        <w:rPr>
          <w:rFonts w:hint="eastAsia" w:ascii="宋体" w:hAnsi="宋体"/>
          <w:sz w:val="24"/>
        </w:rPr>
        <w:t>温度</w:t>
      </w:r>
    </w:p>
    <w:p w14:paraId="4F627170">
      <w:pPr>
        <w:spacing w:line="360" w:lineRule="auto"/>
        <w:ind w:firstLine="480"/>
        <w:contextualSpacing/>
        <w:rPr>
          <w:rFonts w:ascii="宋体" w:hAnsi="宋体"/>
          <w:sz w:val="24"/>
        </w:rPr>
      </w:pPr>
      <w:r>
        <w:rPr>
          <w:rFonts w:hint="eastAsia" w:ascii="宋体" w:hAnsi="宋体"/>
          <w:sz w:val="24"/>
        </w:rPr>
        <w:t>1）范围：-40℃~+120℃；</w:t>
      </w:r>
    </w:p>
    <w:p w14:paraId="21300824">
      <w:pPr>
        <w:spacing w:line="360" w:lineRule="auto"/>
        <w:ind w:firstLine="480"/>
        <w:contextualSpacing/>
        <w:rPr>
          <w:rFonts w:ascii="宋体" w:hAnsi="宋体"/>
          <w:sz w:val="24"/>
        </w:rPr>
      </w:pPr>
      <w:r>
        <w:rPr>
          <w:rFonts w:hint="eastAsia" w:ascii="宋体" w:hAnsi="宋体"/>
          <w:sz w:val="24"/>
        </w:rPr>
        <w:t>2）精度：0.1℃，</w:t>
      </w:r>
    </w:p>
    <w:p w14:paraId="21619366">
      <w:pPr>
        <w:spacing w:line="360" w:lineRule="auto"/>
        <w:ind w:firstLine="480"/>
        <w:contextualSpacing/>
        <w:rPr>
          <w:rFonts w:ascii="宋体" w:hAnsi="宋体"/>
          <w:sz w:val="24"/>
        </w:rPr>
      </w:pPr>
      <w:r>
        <w:rPr>
          <w:rFonts w:hint="eastAsia" w:ascii="宋体" w:hAnsi="宋体"/>
          <w:sz w:val="24"/>
        </w:rPr>
        <w:t>3）量程：±0.5℃(25℃）</w:t>
      </w:r>
    </w:p>
    <w:p w14:paraId="27648319">
      <w:pPr>
        <w:spacing w:line="360" w:lineRule="auto"/>
        <w:ind w:firstLine="480"/>
        <w:contextualSpacing/>
        <w:rPr>
          <w:rFonts w:ascii="宋体" w:hAnsi="宋体"/>
          <w:sz w:val="24"/>
        </w:rPr>
      </w:pPr>
      <w:r>
        <w:rPr>
          <w:rFonts w:hint="eastAsia" w:ascii="宋体" w:hAnsi="宋体"/>
          <w:sz w:val="24"/>
        </w:rPr>
        <w:t>湿度：</w:t>
      </w:r>
    </w:p>
    <w:p w14:paraId="561DCBC4">
      <w:pPr>
        <w:spacing w:line="360" w:lineRule="auto"/>
        <w:ind w:firstLine="480"/>
        <w:contextualSpacing/>
        <w:rPr>
          <w:rFonts w:ascii="宋体" w:hAnsi="宋体"/>
          <w:sz w:val="24"/>
        </w:rPr>
      </w:pPr>
      <w:r>
        <w:rPr>
          <w:rFonts w:hint="eastAsia" w:ascii="宋体" w:hAnsi="宋体"/>
          <w:sz w:val="24"/>
        </w:rPr>
        <w:t>1）范围：0%RH-100%RH，</w:t>
      </w:r>
    </w:p>
    <w:p w14:paraId="4E3DA1B6">
      <w:pPr>
        <w:spacing w:line="360" w:lineRule="auto"/>
        <w:ind w:firstLine="480"/>
        <w:contextualSpacing/>
        <w:rPr>
          <w:rFonts w:ascii="宋体" w:hAnsi="宋体"/>
          <w:sz w:val="24"/>
        </w:rPr>
      </w:pPr>
      <w:r>
        <w:rPr>
          <w:rFonts w:hint="eastAsia" w:ascii="宋体" w:hAnsi="宋体"/>
          <w:sz w:val="24"/>
        </w:rPr>
        <w:t>2）精度：0.1%RH，</w:t>
      </w:r>
    </w:p>
    <w:p w14:paraId="09419326">
      <w:pPr>
        <w:spacing w:line="360" w:lineRule="auto"/>
        <w:ind w:firstLine="480"/>
        <w:contextualSpacing/>
        <w:rPr>
          <w:rFonts w:ascii="宋体" w:hAnsi="宋体"/>
          <w:sz w:val="24"/>
        </w:rPr>
      </w:pPr>
      <w:r>
        <w:rPr>
          <w:rFonts w:hint="eastAsia" w:ascii="宋体" w:hAnsi="宋体"/>
          <w:sz w:val="24"/>
        </w:rPr>
        <w:t>3）量程：±3%RH（60%RH,25℃）</w:t>
      </w:r>
    </w:p>
    <w:p w14:paraId="7E29711A">
      <w:pPr>
        <w:spacing w:line="360" w:lineRule="auto"/>
        <w:ind w:firstLine="480"/>
        <w:contextualSpacing/>
        <w:rPr>
          <w:rFonts w:ascii="宋体" w:hAnsi="宋体"/>
          <w:b/>
          <w:bCs/>
          <w:sz w:val="24"/>
        </w:rPr>
      </w:pPr>
      <w:r>
        <w:rPr>
          <w:rFonts w:hint="eastAsia" w:ascii="宋体" w:hAnsi="宋体"/>
          <w:b/>
          <w:bCs/>
          <w:sz w:val="24"/>
        </w:rPr>
        <w:t>（2）各类环境气体浓度监控：实验室气体包含仪器使用气体、实验反应生成气体及化学品自身产生气体。通过气体传感器，对实验室中气</w:t>
      </w:r>
      <w:r>
        <w:rPr>
          <w:rFonts w:ascii="宋体" w:hAnsi="宋体"/>
          <w:b/>
          <w:bCs/>
          <w:sz w:val="24"/>
        </w:rPr>
        <w:t>体</w:t>
      </w:r>
      <w:r>
        <w:rPr>
          <w:rFonts w:hint="eastAsia" w:ascii="宋体" w:hAnsi="宋体"/>
          <w:b/>
          <w:bCs/>
          <w:sz w:val="24"/>
        </w:rPr>
        <w:t>进行浓度监控，</w:t>
      </w:r>
      <w:r>
        <w:rPr>
          <w:rFonts w:ascii="宋体" w:hAnsi="宋体"/>
          <w:b/>
          <w:bCs/>
          <w:sz w:val="24"/>
        </w:rPr>
        <w:t>空气有异常系统自动启动新风系统，</w:t>
      </w:r>
      <w:r>
        <w:rPr>
          <w:rFonts w:hint="eastAsia" w:ascii="宋体" w:hAnsi="宋体"/>
          <w:b/>
          <w:bCs/>
          <w:sz w:val="24"/>
        </w:rPr>
        <w:t>并将环境气体报警信息，传输到各用户端（电脑、手机App），并将报警通知发送给相关责任人。</w:t>
      </w:r>
    </w:p>
    <w:p w14:paraId="2125FC96">
      <w:pPr>
        <w:spacing w:line="360" w:lineRule="auto"/>
        <w:ind w:firstLine="480"/>
        <w:contextualSpacing/>
        <w:rPr>
          <w:rFonts w:ascii="宋体" w:hAnsi="宋体"/>
          <w:b/>
          <w:bCs/>
          <w:sz w:val="24"/>
        </w:rPr>
      </w:pPr>
      <w:r>
        <w:rPr>
          <w:rFonts w:hint="eastAsia" w:ascii="宋体" w:hAnsi="宋体"/>
          <w:b/>
          <w:bCs/>
          <w:sz w:val="24"/>
        </w:rPr>
        <w:t>复合空气质量检测仪2台，需求如下：</w:t>
      </w:r>
    </w:p>
    <w:p w14:paraId="5EB7FB6D">
      <w:pPr>
        <w:spacing w:line="360" w:lineRule="auto"/>
        <w:ind w:firstLine="480"/>
        <w:contextualSpacing/>
        <w:rPr>
          <w:rFonts w:ascii="宋体" w:hAnsi="宋体"/>
          <w:sz w:val="24"/>
        </w:rPr>
      </w:pPr>
      <w:r>
        <w:rPr>
          <w:rFonts w:hint="eastAsia" w:ascii="宋体" w:hAnsi="宋体"/>
          <w:sz w:val="24"/>
        </w:rPr>
        <w:t>1）检测参数：温度、湿度、PM2.5、PM10、TSP、大气压力、光照、噪声、异味、TVOC、CO2、甲醛、O3、CO、CH4、O2、SO2、NO2、H2、H2S、NH3、烟雾；</w:t>
      </w:r>
    </w:p>
    <w:p w14:paraId="544F0F7F">
      <w:pPr>
        <w:spacing w:line="360" w:lineRule="auto"/>
        <w:ind w:firstLine="480"/>
        <w:contextualSpacing/>
        <w:rPr>
          <w:rFonts w:ascii="宋体" w:hAnsi="宋体"/>
          <w:sz w:val="24"/>
        </w:rPr>
      </w:pPr>
      <w:r>
        <w:rPr>
          <w:rFonts w:hint="eastAsia" w:ascii="宋体" w:hAnsi="宋体"/>
          <w:sz w:val="24"/>
        </w:rPr>
        <w:t>2）工作环境：：温度-10℃-55℃；湿度 0~95%RH 无冷凝；</w:t>
      </w:r>
    </w:p>
    <w:p w14:paraId="414951A1">
      <w:pPr>
        <w:spacing w:line="360" w:lineRule="auto"/>
        <w:ind w:firstLine="480"/>
        <w:contextualSpacing/>
        <w:rPr>
          <w:rFonts w:ascii="宋体" w:hAnsi="宋体"/>
          <w:sz w:val="24"/>
        </w:rPr>
      </w:pPr>
      <w:r>
        <w:rPr>
          <w:rFonts w:hint="eastAsia" w:ascii="宋体" w:hAnsi="宋体"/>
          <w:sz w:val="24"/>
        </w:rPr>
        <w:t>3）TSP 要素：温度-10℃-55℃；湿度 0~70%RH</w:t>
      </w:r>
    </w:p>
    <w:p w14:paraId="6F7601ED">
      <w:pPr>
        <w:spacing w:line="360" w:lineRule="auto"/>
        <w:ind w:firstLine="480"/>
        <w:contextualSpacing/>
        <w:rPr>
          <w:rFonts w:ascii="宋体" w:hAnsi="宋体"/>
          <w:sz w:val="24"/>
        </w:rPr>
      </w:pPr>
      <w:r>
        <w:rPr>
          <w:rFonts w:hint="eastAsia" w:ascii="宋体" w:hAnsi="宋体"/>
          <w:sz w:val="24"/>
        </w:rPr>
        <w:t>4）信号输出：RJ485 网口上传，支持静态 IP 地址、IP 地址自动获取功能、支持跨网关、域名解析。</w:t>
      </w:r>
    </w:p>
    <w:p w14:paraId="12348DF5">
      <w:pPr>
        <w:spacing w:line="360" w:lineRule="auto"/>
        <w:ind w:firstLine="482" w:firstLineChars="200"/>
        <w:contextualSpacing/>
        <w:rPr>
          <w:rFonts w:ascii="宋体" w:hAnsi="宋体"/>
          <w:b/>
          <w:bCs/>
          <w:sz w:val="24"/>
        </w:rPr>
      </w:pPr>
      <w:r>
        <w:rPr>
          <w:rFonts w:hint="eastAsia" w:ascii="宋体" w:hAnsi="宋体"/>
          <w:b/>
          <w:bCs/>
          <w:sz w:val="24"/>
        </w:rPr>
        <w:t>氧气传感器1个，需求如下：</w:t>
      </w:r>
    </w:p>
    <w:p w14:paraId="1B8A0CB5">
      <w:pPr>
        <w:spacing w:line="360" w:lineRule="auto"/>
        <w:ind w:firstLine="480" w:firstLineChars="200"/>
        <w:contextualSpacing/>
        <w:rPr>
          <w:rFonts w:ascii="宋体" w:hAnsi="宋体"/>
          <w:sz w:val="24"/>
        </w:rPr>
      </w:pPr>
      <w:r>
        <w:rPr>
          <w:rFonts w:hint="eastAsia" w:ascii="宋体" w:hAnsi="宋体"/>
          <w:sz w:val="24"/>
        </w:rPr>
        <w:t>1）量程：0~30%VOL，</w:t>
      </w:r>
    </w:p>
    <w:p w14:paraId="4DA04D80">
      <w:pPr>
        <w:spacing w:line="360" w:lineRule="auto"/>
        <w:ind w:firstLine="480" w:firstLineChars="200"/>
        <w:contextualSpacing/>
        <w:rPr>
          <w:rFonts w:ascii="宋体" w:hAnsi="宋体"/>
          <w:sz w:val="24"/>
        </w:rPr>
      </w:pPr>
      <w:r>
        <w:rPr>
          <w:rFonts w:hint="eastAsia" w:ascii="宋体" w:hAnsi="宋体"/>
          <w:sz w:val="24"/>
        </w:rPr>
        <w:t>2）分辨率：0.1%Vol；</w:t>
      </w:r>
    </w:p>
    <w:p w14:paraId="6026095F">
      <w:pPr>
        <w:spacing w:line="360" w:lineRule="auto"/>
        <w:ind w:firstLine="480" w:firstLineChars="200"/>
        <w:contextualSpacing/>
        <w:rPr>
          <w:rFonts w:ascii="宋体" w:hAnsi="宋体"/>
          <w:sz w:val="24"/>
        </w:rPr>
      </w:pPr>
      <w:r>
        <w:rPr>
          <w:rFonts w:hint="eastAsia" w:ascii="宋体" w:hAnsi="宋体"/>
          <w:sz w:val="24"/>
        </w:rPr>
        <w:t>3）精度：±2%FS，</w:t>
      </w:r>
    </w:p>
    <w:p w14:paraId="7FAFD63C">
      <w:pPr>
        <w:spacing w:line="360" w:lineRule="auto"/>
        <w:ind w:firstLine="480"/>
        <w:contextualSpacing/>
        <w:rPr>
          <w:rFonts w:ascii="宋体" w:hAnsi="宋体"/>
          <w:b/>
          <w:bCs/>
          <w:sz w:val="24"/>
        </w:rPr>
      </w:pPr>
      <w:r>
        <w:rPr>
          <w:rFonts w:hint="eastAsia" w:ascii="宋体" w:hAnsi="宋体"/>
          <w:b/>
          <w:bCs/>
          <w:sz w:val="24"/>
        </w:rPr>
        <w:t>（3）气体钢瓶泄露管控：通过气瓶柜设备，对实验室房间内的各类气体钢瓶是否泄露实时监控，当气体钢瓶内的气体泄露达到一定浓度时时，气瓶柜会及时发出预警并通知到相应的负责人。</w:t>
      </w:r>
    </w:p>
    <w:p w14:paraId="057E39DA">
      <w:pPr>
        <w:spacing w:line="360" w:lineRule="auto"/>
        <w:ind w:firstLine="482" w:firstLineChars="200"/>
        <w:contextualSpacing/>
        <w:rPr>
          <w:rFonts w:ascii="宋体" w:hAnsi="宋体"/>
          <w:b/>
          <w:bCs/>
          <w:sz w:val="24"/>
        </w:rPr>
      </w:pPr>
      <w:r>
        <w:rPr>
          <w:rFonts w:hint="eastAsia" w:ascii="宋体" w:hAnsi="宋体"/>
          <w:b/>
          <w:bCs/>
          <w:sz w:val="24"/>
        </w:rPr>
        <w:t>气瓶柜1个，需求如下：</w:t>
      </w:r>
    </w:p>
    <w:p w14:paraId="178C63BB">
      <w:pPr>
        <w:spacing w:line="360" w:lineRule="auto"/>
        <w:ind w:firstLine="480"/>
        <w:contextualSpacing/>
        <w:rPr>
          <w:rFonts w:ascii="宋体" w:hAnsi="宋体"/>
          <w:sz w:val="24"/>
        </w:rPr>
      </w:pPr>
      <w:r>
        <w:rPr>
          <w:rFonts w:hint="eastAsia" w:ascii="宋体" w:hAnsi="宋体"/>
          <w:sz w:val="24"/>
        </w:rPr>
        <w:t>柜体采用1.0mm厚优质冷轧钢板，所有工件经模</w:t>
      </w:r>
    </w:p>
    <w:p w14:paraId="67B0AC0B">
      <w:pPr>
        <w:spacing w:line="360" w:lineRule="auto"/>
        <w:ind w:firstLine="480"/>
        <w:contextualSpacing/>
        <w:rPr>
          <w:rFonts w:ascii="宋体" w:hAnsi="宋体"/>
          <w:sz w:val="24"/>
        </w:rPr>
      </w:pPr>
      <w:r>
        <w:rPr>
          <w:rFonts w:hint="eastAsia" w:ascii="宋体" w:hAnsi="宋体"/>
          <w:sz w:val="24"/>
        </w:rPr>
        <w:t>具冲压折弯焊接而成，焊接部分打磨、抛光处理平</w:t>
      </w:r>
    </w:p>
    <w:p w14:paraId="1F502812">
      <w:pPr>
        <w:spacing w:line="360" w:lineRule="auto"/>
        <w:ind w:firstLine="480"/>
        <w:contextualSpacing/>
        <w:rPr>
          <w:rFonts w:ascii="宋体" w:hAnsi="宋体"/>
          <w:sz w:val="24"/>
        </w:rPr>
      </w:pPr>
      <w:r>
        <w:rPr>
          <w:rFonts w:hint="eastAsia" w:ascii="宋体" w:hAnsi="宋体"/>
          <w:sz w:val="24"/>
        </w:rPr>
        <w:t>滑过渡，焊点无毛刺及假焊，构造表面经酸洗、磷</w:t>
      </w:r>
    </w:p>
    <w:p w14:paraId="39A971A7">
      <w:pPr>
        <w:spacing w:line="360" w:lineRule="auto"/>
        <w:ind w:firstLine="480"/>
        <w:contextualSpacing/>
        <w:rPr>
          <w:rFonts w:ascii="宋体" w:hAnsi="宋体"/>
          <w:sz w:val="24"/>
        </w:rPr>
      </w:pPr>
      <w:r>
        <w:rPr>
          <w:rFonts w:hint="eastAsia" w:ascii="宋体" w:hAnsi="宋体"/>
          <w:sz w:val="24"/>
        </w:rPr>
        <w:t>化、环氧树脂粉末静电喷涂</w:t>
      </w:r>
    </w:p>
    <w:p w14:paraId="51EB39C7">
      <w:pPr>
        <w:spacing w:line="360" w:lineRule="auto"/>
        <w:ind w:firstLine="480"/>
        <w:contextualSpacing/>
        <w:rPr>
          <w:rFonts w:ascii="宋体" w:hAnsi="宋体"/>
          <w:sz w:val="24"/>
        </w:rPr>
      </w:pPr>
      <w:r>
        <w:rPr>
          <w:rFonts w:hint="eastAsia" w:ascii="宋体" w:hAnsi="宋体"/>
          <w:sz w:val="24"/>
        </w:rPr>
        <w:t>柜</w:t>
      </w:r>
      <w:r>
        <w:rPr>
          <w:rFonts w:hint="eastAsia" w:ascii="微软雅黑" w:hAnsi="微软雅黑" w:eastAsia="微软雅黑" w:cs="微软雅黑"/>
          <w:sz w:val="24"/>
        </w:rPr>
        <w:t>⻔</w:t>
      </w:r>
      <w:r>
        <w:rPr>
          <w:rFonts w:hint="eastAsia" w:ascii="宋体" w:hAnsi="宋体" w:cs="宋体"/>
          <w:sz w:val="24"/>
        </w:rPr>
        <w:t>优质冷轧钢板</w:t>
      </w:r>
      <w:r>
        <w:rPr>
          <w:rFonts w:ascii="宋体" w:hAnsi="宋体"/>
          <w:sz w:val="24"/>
        </w:rPr>
        <w:t>1.0mm</w:t>
      </w:r>
      <w:r>
        <w:rPr>
          <w:rFonts w:hint="eastAsia" w:ascii="宋体" w:hAnsi="宋体"/>
          <w:sz w:val="24"/>
        </w:rPr>
        <w:t>厚冲压而成，上柜</w:t>
      </w:r>
      <w:r>
        <w:rPr>
          <w:rFonts w:hint="eastAsia" w:ascii="微软雅黑" w:hAnsi="微软雅黑" w:eastAsia="微软雅黑" w:cs="微软雅黑"/>
          <w:sz w:val="24"/>
        </w:rPr>
        <w:t>⻔</w:t>
      </w:r>
      <w:r>
        <w:rPr>
          <w:rFonts w:hint="eastAsia" w:ascii="宋体" w:hAnsi="宋体" w:cs="宋体"/>
          <w:sz w:val="24"/>
        </w:rPr>
        <w:t>内</w:t>
      </w:r>
    </w:p>
    <w:p w14:paraId="319D7317">
      <w:pPr>
        <w:spacing w:line="360" w:lineRule="auto"/>
        <w:ind w:firstLine="480"/>
        <w:contextualSpacing/>
        <w:rPr>
          <w:rFonts w:ascii="宋体" w:hAnsi="宋体"/>
          <w:sz w:val="24"/>
        </w:rPr>
      </w:pPr>
      <w:r>
        <w:rPr>
          <w:rFonts w:hint="eastAsia" w:ascii="宋体" w:hAnsi="宋体"/>
          <w:sz w:val="24"/>
        </w:rPr>
        <w:t>嵌5mm透明钢化玻璃</w:t>
      </w:r>
    </w:p>
    <w:p w14:paraId="2030CC9C">
      <w:pPr>
        <w:spacing w:line="360" w:lineRule="auto"/>
        <w:ind w:firstLine="480"/>
        <w:contextualSpacing/>
        <w:rPr>
          <w:rFonts w:ascii="宋体" w:hAnsi="宋体"/>
          <w:sz w:val="24"/>
        </w:rPr>
      </w:pPr>
      <w:r>
        <w:rPr>
          <w:rFonts w:hint="eastAsia" w:ascii="宋体" w:hAnsi="宋体"/>
          <w:sz w:val="24"/>
        </w:rPr>
        <w:t>配固定气瓶橡胶带</w:t>
      </w:r>
    </w:p>
    <w:p w14:paraId="27E5D1EE">
      <w:pPr>
        <w:spacing w:line="360" w:lineRule="auto"/>
        <w:ind w:firstLine="480"/>
        <w:contextualSpacing/>
        <w:rPr>
          <w:rFonts w:ascii="宋体" w:hAnsi="宋体"/>
          <w:sz w:val="24"/>
        </w:rPr>
      </w:pPr>
      <w:r>
        <w:rPr>
          <w:rFonts w:hint="eastAsia" w:ascii="宋体" w:hAnsi="宋体"/>
          <w:sz w:val="24"/>
        </w:rPr>
        <w:t>带气体报警装置</w:t>
      </w:r>
    </w:p>
    <w:p w14:paraId="2FFBD571">
      <w:pPr>
        <w:spacing w:line="360" w:lineRule="auto"/>
        <w:ind w:firstLine="480"/>
        <w:contextualSpacing/>
        <w:rPr>
          <w:rFonts w:ascii="宋体" w:hAnsi="宋体"/>
          <w:sz w:val="24"/>
        </w:rPr>
      </w:pPr>
      <w:r>
        <w:rPr>
          <w:rFonts w:hint="eastAsia" w:ascii="宋体" w:hAnsi="宋体"/>
          <w:sz w:val="24"/>
        </w:rPr>
        <w:t>带排</w:t>
      </w:r>
      <w:r>
        <w:rPr>
          <w:rFonts w:hint="eastAsia" w:ascii="微软雅黑" w:hAnsi="微软雅黑" w:eastAsia="微软雅黑" w:cs="微软雅黑"/>
          <w:sz w:val="24"/>
        </w:rPr>
        <w:t>⻛</w:t>
      </w:r>
      <w:r>
        <w:rPr>
          <w:rFonts w:hint="eastAsia" w:ascii="宋体" w:hAnsi="宋体" w:cs="宋体"/>
          <w:sz w:val="24"/>
        </w:rPr>
        <w:t>装置</w:t>
      </w:r>
    </w:p>
    <w:p w14:paraId="0AC28360">
      <w:pPr>
        <w:spacing w:line="360" w:lineRule="auto"/>
        <w:ind w:firstLine="480"/>
        <w:contextualSpacing/>
        <w:rPr>
          <w:rFonts w:ascii="宋体" w:hAnsi="宋体"/>
          <w:sz w:val="24"/>
        </w:rPr>
      </w:pPr>
      <w:r>
        <w:rPr>
          <w:rFonts w:hint="eastAsia" w:ascii="宋体" w:hAnsi="宋体"/>
          <w:sz w:val="24"/>
        </w:rPr>
        <w:t>拉手采用C型合金镀铬拉手/铝合金内凹短型拉手/</w:t>
      </w:r>
    </w:p>
    <w:p w14:paraId="1DDC3214">
      <w:pPr>
        <w:spacing w:line="360" w:lineRule="auto"/>
        <w:ind w:firstLine="480"/>
        <w:contextualSpacing/>
        <w:rPr>
          <w:rFonts w:ascii="宋体" w:hAnsi="宋体"/>
          <w:sz w:val="24"/>
        </w:rPr>
      </w:pPr>
      <w:r>
        <w:rPr>
          <w:rFonts w:hint="eastAsia" w:ascii="宋体" w:hAnsi="宋体"/>
          <w:sz w:val="24"/>
        </w:rPr>
        <w:t>铝合金拉手、模具成型、表面化学处理、耐腐蚀，</w:t>
      </w:r>
    </w:p>
    <w:p w14:paraId="1AFA20D8">
      <w:pPr>
        <w:spacing w:line="360" w:lineRule="auto"/>
        <w:ind w:firstLine="480"/>
        <w:contextualSpacing/>
        <w:rPr>
          <w:rFonts w:ascii="宋体" w:hAnsi="宋体"/>
          <w:sz w:val="24"/>
        </w:rPr>
      </w:pPr>
      <w:r>
        <w:rPr>
          <w:rFonts w:hint="eastAsia" w:ascii="宋体" w:hAnsi="宋体"/>
          <w:sz w:val="24"/>
        </w:rPr>
        <w:t>外形美观，设计人性化</w:t>
      </w:r>
    </w:p>
    <w:p w14:paraId="45D49D86">
      <w:pPr>
        <w:spacing w:line="360" w:lineRule="auto"/>
        <w:ind w:firstLine="480"/>
        <w:contextualSpacing/>
        <w:rPr>
          <w:rFonts w:ascii="宋体" w:hAnsi="宋体"/>
          <w:sz w:val="24"/>
        </w:rPr>
      </w:pPr>
      <w:r>
        <w:rPr>
          <w:rFonts w:hint="eastAsia" w:ascii="宋体" w:hAnsi="宋体"/>
          <w:sz w:val="24"/>
        </w:rPr>
        <w:t>铰链</w:t>
      </w:r>
      <w:r>
        <w:rPr>
          <w:rFonts w:ascii="宋体" w:hAnsi="宋体"/>
          <w:sz w:val="24"/>
        </w:rPr>
        <w:t>/</w:t>
      </w:r>
      <w:r>
        <w:rPr>
          <w:rFonts w:hint="eastAsia" w:ascii="宋体" w:hAnsi="宋体"/>
          <w:sz w:val="24"/>
        </w:rPr>
        <w:t>合</w:t>
      </w:r>
      <w:r>
        <w:rPr>
          <w:rFonts w:hint="eastAsia" w:ascii="微软雅黑" w:hAnsi="微软雅黑" w:eastAsia="微软雅黑" w:cs="微软雅黑"/>
          <w:sz w:val="24"/>
        </w:rPr>
        <w:t>⻚</w:t>
      </w:r>
      <w:r>
        <w:rPr>
          <w:rFonts w:hint="eastAsia" w:ascii="宋体" w:hAnsi="宋体" w:cs="宋体"/>
          <w:sz w:val="24"/>
        </w:rPr>
        <w:t>：</w:t>
      </w:r>
      <w:r>
        <w:rPr>
          <w:rFonts w:ascii="宋体" w:hAnsi="宋体"/>
          <w:sz w:val="24"/>
        </w:rPr>
        <w:t>175º</w:t>
      </w:r>
      <w:r>
        <w:rPr>
          <w:rFonts w:hint="eastAsia" w:ascii="宋体" w:hAnsi="宋体"/>
          <w:sz w:val="24"/>
        </w:rPr>
        <w:t>合金铰链</w:t>
      </w:r>
      <w:r>
        <w:rPr>
          <w:rFonts w:ascii="宋体" w:hAnsi="宋体"/>
          <w:sz w:val="24"/>
        </w:rPr>
        <w:t>/304#</w:t>
      </w:r>
      <w:r>
        <w:rPr>
          <w:rFonts w:hint="eastAsia" w:ascii="宋体" w:hAnsi="宋体"/>
          <w:sz w:val="24"/>
        </w:rPr>
        <w:t>不锈钢合</w:t>
      </w:r>
      <w:r>
        <w:rPr>
          <w:rFonts w:hint="eastAsia" w:ascii="微软雅黑" w:hAnsi="微软雅黑" w:eastAsia="微软雅黑" w:cs="微软雅黑"/>
          <w:sz w:val="24"/>
        </w:rPr>
        <w:t>⻚</w:t>
      </w:r>
    </w:p>
    <w:p w14:paraId="218B68AA">
      <w:pPr>
        <w:spacing w:line="360" w:lineRule="auto"/>
        <w:ind w:firstLine="480"/>
        <w:contextualSpacing/>
        <w:rPr>
          <w:rFonts w:ascii="宋体" w:hAnsi="宋体"/>
          <w:sz w:val="24"/>
        </w:rPr>
      </w:pPr>
      <w:r>
        <w:rPr>
          <w:rFonts w:hint="eastAsia" w:ascii="宋体" w:hAnsi="宋体"/>
          <w:sz w:val="24"/>
        </w:rPr>
        <w:t>可调脚：专用地脚尼</w:t>
      </w:r>
      <w:r>
        <w:rPr>
          <w:rFonts w:hint="eastAsia" w:ascii="微软雅黑" w:hAnsi="微软雅黑" w:eastAsia="微软雅黑" w:cs="微软雅黑"/>
          <w:sz w:val="24"/>
        </w:rPr>
        <w:t>⻰</w:t>
      </w:r>
      <w:r>
        <w:rPr>
          <w:rFonts w:hint="eastAsia" w:ascii="宋体" w:hAnsi="宋体" w:cs="宋体"/>
          <w:sz w:val="24"/>
        </w:rPr>
        <w:t>压铸不锈钢螺杆</w:t>
      </w:r>
      <w:r>
        <w:rPr>
          <w:rFonts w:hint="eastAsia" w:ascii="宋体" w:hAnsi="宋体"/>
          <w:sz w:val="24"/>
        </w:rPr>
        <w:t>。</w:t>
      </w:r>
    </w:p>
    <w:p w14:paraId="6D7A6AD0">
      <w:pPr>
        <w:spacing w:line="360" w:lineRule="auto"/>
        <w:ind w:firstLine="480"/>
        <w:contextualSpacing/>
        <w:rPr>
          <w:rFonts w:ascii="宋体" w:hAnsi="宋体"/>
          <w:b/>
          <w:bCs/>
          <w:sz w:val="24"/>
        </w:rPr>
      </w:pPr>
      <w:r>
        <w:rPr>
          <w:rFonts w:hint="eastAsia" w:ascii="宋体" w:hAnsi="宋体"/>
          <w:b/>
          <w:bCs/>
          <w:sz w:val="24"/>
        </w:rPr>
        <w:t>（4）烟雾传感器监控：能够探测火灾时产生的烟雾，对实验室中烟雾进行浓度监控，联动断电。</w:t>
      </w:r>
    </w:p>
    <w:p w14:paraId="53E76CF8">
      <w:pPr>
        <w:spacing w:line="360" w:lineRule="auto"/>
        <w:ind w:firstLine="482" w:firstLineChars="200"/>
        <w:contextualSpacing/>
        <w:rPr>
          <w:rFonts w:ascii="宋体" w:hAnsi="宋体"/>
          <w:b/>
          <w:bCs/>
          <w:sz w:val="24"/>
        </w:rPr>
      </w:pPr>
      <w:r>
        <w:rPr>
          <w:rFonts w:hint="eastAsia" w:ascii="宋体" w:hAnsi="宋体"/>
          <w:b/>
          <w:bCs/>
          <w:sz w:val="24"/>
        </w:rPr>
        <w:t>烟雾传感器2个，需求如下：</w:t>
      </w:r>
    </w:p>
    <w:p w14:paraId="5239D0AC">
      <w:pPr>
        <w:spacing w:line="360" w:lineRule="auto"/>
        <w:ind w:firstLine="480" w:firstLineChars="200"/>
        <w:contextualSpacing/>
        <w:rPr>
          <w:rFonts w:ascii="宋体" w:hAnsi="宋体"/>
          <w:sz w:val="24"/>
        </w:rPr>
      </w:pPr>
      <w:r>
        <w:rPr>
          <w:rFonts w:hint="eastAsia" w:ascii="宋体" w:hAnsi="宋体"/>
          <w:sz w:val="24"/>
        </w:rPr>
        <w:t>量程：0~10000ppm，</w:t>
      </w:r>
    </w:p>
    <w:p w14:paraId="4A145F53">
      <w:pPr>
        <w:spacing w:line="360" w:lineRule="auto"/>
        <w:ind w:firstLine="480" w:firstLineChars="200"/>
        <w:contextualSpacing/>
        <w:rPr>
          <w:rFonts w:ascii="宋体" w:hAnsi="宋体"/>
          <w:sz w:val="24"/>
        </w:rPr>
      </w:pPr>
      <w:r>
        <w:rPr>
          <w:rFonts w:hint="eastAsia" w:ascii="宋体" w:hAnsi="宋体"/>
          <w:sz w:val="24"/>
        </w:rPr>
        <w:t>分辨率：1ppm；</w:t>
      </w:r>
    </w:p>
    <w:p w14:paraId="37C34B96">
      <w:pPr>
        <w:spacing w:line="360" w:lineRule="auto"/>
        <w:ind w:firstLine="480" w:firstLineChars="200"/>
        <w:contextualSpacing/>
        <w:rPr>
          <w:rFonts w:ascii="宋体" w:hAnsi="宋体"/>
          <w:sz w:val="24"/>
        </w:rPr>
      </w:pPr>
      <w:r>
        <w:rPr>
          <w:rFonts w:hint="eastAsia" w:ascii="宋体" w:hAnsi="宋体"/>
          <w:sz w:val="24"/>
        </w:rPr>
        <w:t>精度：±5%FS（@C3H8，2000ppm、25℃、50%RH）。</w:t>
      </w:r>
    </w:p>
    <w:p w14:paraId="195559BF">
      <w:pPr>
        <w:spacing w:line="360" w:lineRule="auto"/>
        <w:ind w:firstLine="482" w:firstLineChars="200"/>
        <w:contextualSpacing/>
        <w:rPr>
          <w:rFonts w:ascii="宋体" w:hAnsi="宋体"/>
          <w:b/>
          <w:bCs/>
          <w:sz w:val="24"/>
        </w:rPr>
      </w:pPr>
      <w:r>
        <w:rPr>
          <w:rFonts w:hint="eastAsia" w:ascii="宋体" w:hAnsi="宋体"/>
          <w:b/>
          <w:bCs/>
          <w:sz w:val="24"/>
        </w:rPr>
        <w:t>（5）VOC传感监控：对挥发性有机气体进行检测，联动实验室通风橱和新风系统。</w:t>
      </w:r>
    </w:p>
    <w:p w14:paraId="601B7883">
      <w:pPr>
        <w:spacing w:line="360" w:lineRule="auto"/>
        <w:ind w:firstLine="482" w:firstLineChars="200"/>
        <w:contextualSpacing/>
        <w:rPr>
          <w:rFonts w:ascii="宋体" w:hAnsi="宋体"/>
          <w:b/>
          <w:bCs/>
          <w:sz w:val="24"/>
        </w:rPr>
      </w:pPr>
      <w:r>
        <w:rPr>
          <w:rFonts w:hint="eastAsia" w:ascii="宋体" w:hAnsi="宋体"/>
          <w:b/>
          <w:bCs/>
          <w:sz w:val="24"/>
        </w:rPr>
        <w:t>TVOC传感器1个，需求如下：</w:t>
      </w:r>
    </w:p>
    <w:p w14:paraId="7BC0A20D">
      <w:pPr>
        <w:spacing w:line="360" w:lineRule="auto"/>
        <w:ind w:left="420" w:firstLine="480" w:firstLineChars="200"/>
        <w:contextualSpacing/>
        <w:rPr>
          <w:rFonts w:ascii="宋体" w:hAnsi="宋体"/>
          <w:sz w:val="24"/>
        </w:rPr>
      </w:pPr>
      <w:r>
        <w:rPr>
          <w:rFonts w:hint="eastAsia" w:ascii="宋体" w:hAnsi="宋体"/>
          <w:sz w:val="24"/>
        </w:rPr>
        <w:t>量程：0~60000ppb</w:t>
      </w:r>
    </w:p>
    <w:p w14:paraId="6D1576E1">
      <w:pPr>
        <w:spacing w:line="360" w:lineRule="auto"/>
        <w:ind w:left="420" w:firstLine="480" w:firstLineChars="200"/>
        <w:contextualSpacing/>
        <w:rPr>
          <w:rFonts w:ascii="宋体" w:hAnsi="宋体"/>
          <w:sz w:val="24"/>
        </w:rPr>
      </w:pPr>
      <w:r>
        <w:rPr>
          <w:rFonts w:hint="eastAsia" w:ascii="宋体" w:hAnsi="宋体"/>
          <w:sz w:val="24"/>
        </w:rPr>
        <w:t>分辨率：1ppb</w:t>
      </w:r>
    </w:p>
    <w:p w14:paraId="597070EF">
      <w:pPr>
        <w:spacing w:line="360" w:lineRule="auto"/>
        <w:ind w:left="420" w:firstLine="480" w:firstLineChars="200"/>
        <w:contextualSpacing/>
        <w:rPr>
          <w:rFonts w:ascii="宋体" w:hAnsi="宋体"/>
          <w:sz w:val="24"/>
        </w:rPr>
      </w:pPr>
      <w:r>
        <w:rPr>
          <w:rFonts w:hint="eastAsia" w:ascii="宋体" w:hAnsi="宋体"/>
          <w:sz w:val="24"/>
        </w:rPr>
        <w:t>典型精度：8%FS(@C2H6O，0.5ppm，25℃，50%RH)</w:t>
      </w:r>
    </w:p>
    <w:p w14:paraId="61C8805E">
      <w:pPr>
        <w:spacing w:line="360" w:lineRule="auto"/>
        <w:ind w:firstLine="480"/>
        <w:contextualSpacing/>
        <w:rPr>
          <w:rFonts w:ascii="宋体" w:hAnsi="宋体"/>
          <w:b/>
          <w:bCs/>
          <w:sz w:val="24"/>
        </w:rPr>
      </w:pPr>
      <w:r>
        <w:rPr>
          <w:rFonts w:ascii="宋体" w:hAnsi="宋体"/>
          <w:b/>
          <w:bCs/>
          <w:sz w:val="24"/>
        </w:rPr>
        <w:t>4.</w:t>
      </w:r>
      <w:r>
        <w:rPr>
          <w:rFonts w:hint="eastAsia" w:ascii="宋体" w:hAnsi="宋体"/>
          <w:b/>
          <w:bCs/>
          <w:sz w:val="24"/>
        </w:rPr>
        <w:t>试剂监管</w:t>
      </w:r>
    </w:p>
    <w:p w14:paraId="6306AEA6">
      <w:pPr>
        <w:spacing w:line="360" w:lineRule="auto"/>
        <w:ind w:firstLine="480"/>
        <w:contextualSpacing/>
        <w:rPr>
          <w:rFonts w:ascii="宋体" w:hAnsi="宋体"/>
          <w:b/>
          <w:bCs/>
          <w:sz w:val="24"/>
        </w:rPr>
      </w:pPr>
      <w:r>
        <w:rPr>
          <w:rFonts w:hint="eastAsia" w:ascii="宋体" w:hAnsi="宋体"/>
          <w:b/>
          <w:bCs/>
          <w:sz w:val="24"/>
        </w:rPr>
        <w:t>（1）针对普通化学品及易制毒、易制爆等管制类化学品，配备相应符合要求的试剂柜</w:t>
      </w:r>
      <w:r>
        <w:rPr>
          <w:rFonts w:ascii="宋体" w:hAnsi="宋体"/>
          <w:b/>
          <w:bCs/>
          <w:sz w:val="24"/>
        </w:rPr>
        <w:t>，</w:t>
      </w:r>
      <w:r>
        <w:rPr>
          <w:rFonts w:hint="eastAsia" w:ascii="宋体" w:hAnsi="宋体"/>
          <w:b/>
          <w:bCs/>
          <w:sz w:val="24"/>
        </w:rPr>
        <w:t>通过远程监控形式，对管控试剂柜及普通试剂柜进行监管。</w:t>
      </w:r>
    </w:p>
    <w:p w14:paraId="625337F0">
      <w:pPr>
        <w:spacing w:line="360" w:lineRule="auto"/>
        <w:ind w:firstLine="482" w:firstLineChars="200"/>
        <w:contextualSpacing/>
        <w:rPr>
          <w:rFonts w:ascii="宋体" w:hAnsi="宋体"/>
          <w:b/>
          <w:bCs/>
          <w:sz w:val="24"/>
        </w:rPr>
      </w:pPr>
      <w:r>
        <w:rPr>
          <w:rFonts w:hint="eastAsia" w:ascii="宋体" w:hAnsi="宋体"/>
          <w:b/>
          <w:bCs/>
          <w:sz w:val="24"/>
        </w:rPr>
        <w:t>管控试剂柜1个，需求如下：</w:t>
      </w:r>
    </w:p>
    <w:p w14:paraId="6C1C1D99">
      <w:pPr>
        <w:spacing w:line="360" w:lineRule="auto"/>
        <w:ind w:firstLine="480" w:firstLineChars="200"/>
        <w:contextualSpacing/>
        <w:rPr>
          <w:rFonts w:ascii="宋体" w:hAnsi="宋体"/>
          <w:sz w:val="24"/>
        </w:rPr>
      </w:pPr>
      <w:r>
        <w:rPr>
          <w:rFonts w:hint="eastAsia" w:ascii="宋体" w:hAnsi="宋体"/>
          <w:sz w:val="24"/>
        </w:rPr>
        <w:t>1）柜体：采用1.0mm厚优质冷轧钢板，所有工件经模具冲压折弯焊接而成，焊接部分打磨、抛光处理平滑过渡，焊点无毛刺及假焊，构造表面经酸洗、磷化、环氧树脂粉末静电喷涂；</w:t>
      </w:r>
    </w:p>
    <w:p w14:paraId="47877284">
      <w:pPr>
        <w:spacing w:line="360" w:lineRule="auto"/>
        <w:ind w:firstLine="480" w:firstLineChars="200"/>
        <w:contextualSpacing/>
        <w:rPr>
          <w:rFonts w:ascii="宋体" w:hAnsi="宋体"/>
          <w:sz w:val="24"/>
        </w:rPr>
      </w:pPr>
      <w:r>
        <w:rPr>
          <w:rFonts w:hint="eastAsia" w:ascii="宋体" w:hAnsi="宋体"/>
          <w:sz w:val="24"/>
        </w:rPr>
        <w:t>2）柜</w:t>
      </w:r>
      <w:r>
        <w:rPr>
          <w:rFonts w:hint="eastAsia" w:ascii="微软雅黑" w:hAnsi="微软雅黑" w:eastAsia="微软雅黑" w:cs="微软雅黑"/>
          <w:sz w:val="24"/>
        </w:rPr>
        <w:t>⻔</w:t>
      </w:r>
      <w:r>
        <w:rPr>
          <w:rFonts w:hint="eastAsia" w:ascii="宋体" w:hAnsi="宋体" w:cs="宋体"/>
          <w:sz w:val="24"/>
        </w:rPr>
        <w:t>：优质冷轧钢板</w:t>
      </w:r>
      <w:r>
        <w:rPr>
          <w:rFonts w:ascii="宋体" w:hAnsi="宋体"/>
          <w:sz w:val="24"/>
        </w:rPr>
        <w:t>1.0mm</w:t>
      </w:r>
      <w:r>
        <w:rPr>
          <w:rFonts w:hint="eastAsia" w:ascii="宋体" w:hAnsi="宋体"/>
          <w:sz w:val="24"/>
        </w:rPr>
        <w:t>厚冲压而成，上柜为镶嵌玻璃掩</w:t>
      </w:r>
      <w:r>
        <w:rPr>
          <w:rFonts w:hint="eastAsia" w:ascii="微软雅黑" w:hAnsi="微软雅黑" w:eastAsia="微软雅黑" w:cs="微软雅黑"/>
          <w:sz w:val="24"/>
        </w:rPr>
        <w:t>⻔</w:t>
      </w:r>
      <w:r>
        <w:rPr>
          <w:rFonts w:hint="eastAsia" w:ascii="宋体" w:hAnsi="宋体" w:cs="宋体"/>
          <w:sz w:val="24"/>
        </w:rPr>
        <w:t>，带两层活动层板</w:t>
      </w:r>
      <w:r>
        <w:rPr>
          <w:rFonts w:ascii="宋体" w:hAnsi="宋体"/>
          <w:sz w:val="24"/>
        </w:rPr>
        <w:t>(</w:t>
      </w:r>
      <w:r>
        <w:rPr>
          <w:rFonts w:hint="eastAsia" w:ascii="宋体" w:hAnsi="宋体"/>
          <w:sz w:val="24"/>
        </w:rPr>
        <w:t>可调节）；下柜为实掩</w:t>
      </w:r>
      <w:r>
        <w:rPr>
          <w:rFonts w:hint="eastAsia" w:ascii="微软雅黑" w:hAnsi="微软雅黑" w:eastAsia="微软雅黑" w:cs="微软雅黑"/>
          <w:sz w:val="24"/>
        </w:rPr>
        <w:t>⻔</w:t>
      </w:r>
      <w:r>
        <w:rPr>
          <w:rFonts w:hint="eastAsia" w:ascii="宋体" w:hAnsi="宋体" w:cs="宋体"/>
          <w:sz w:val="24"/>
        </w:rPr>
        <w:t>，带一层活动层板。活动层板采用</w:t>
      </w:r>
      <w:r>
        <w:rPr>
          <w:rFonts w:ascii="宋体" w:hAnsi="宋体"/>
          <w:sz w:val="24"/>
        </w:rPr>
        <w:t>1.0mm</w:t>
      </w:r>
      <w:r>
        <w:rPr>
          <w:rFonts w:hint="eastAsia" w:ascii="宋体" w:hAnsi="宋体"/>
          <w:sz w:val="24"/>
        </w:rPr>
        <w:t>厚优质冷轧钢板冲压而成并焊U型加强板，表面经酸洗、磷化、静电粉末喷涂处理；采用铝合金</w:t>
      </w:r>
      <w:r>
        <w:rPr>
          <w:rFonts w:hint="eastAsia" w:ascii="微软雅黑" w:hAnsi="微软雅黑" w:eastAsia="微软雅黑" w:cs="微软雅黑"/>
          <w:sz w:val="24"/>
        </w:rPr>
        <w:t>⻓</w:t>
      </w:r>
      <w:r>
        <w:rPr>
          <w:rFonts w:hint="eastAsia" w:ascii="宋体" w:hAnsi="宋体" w:cs="宋体"/>
          <w:sz w:val="24"/>
        </w:rPr>
        <w:t>条拉</w:t>
      </w:r>
      <w:r>
        <w:rPr>
          <w:rFonts w:hint="eastAsia" w:ascii="宋体" w:hAnsi="宋体"/>
          <w:sz w:val="24"/>
        </w:rPr>
        <w:t>手；铰链：不锈钢缓冲铰链；可调脚：专用地脚尼</w:t>
      </w:r>
      <w:r>
        <w:rPr>
          <w:rFonts w:hint="eastAsia" w:ascii="微软雅黑" w:hAnsi="微软雅黑" w:eastAsia="微软雅黑" w:cs="微软雅黑"/>
          <w:sz w:val="24"/>
        </w:rPr>
        <w:t>⻰</w:t>
      </w:r>
      <w:r>
        <w:rPr>
          <w:rFonts w:hint="eastAsia" w:ascii="宋体" w:hAnsi="宋体" w:cs="宋体"/>
          <w:sz w:val="24"/>
        </w:rPr>
        <w:t>压铸不锈钢螺杆</w:t>
      </w:r>
    </w:p>
    <w:p w14:paraId="30D05D46">
      <w:pPr>
        <w:spacing w:line="360" w:lineRule="auto"/>
        <w:ind w:firstLine="480" w:firstLineChars="200"/>
        <w:contextualSpacing/>
        <w:rPr>
          <w:rFonts w:ascii="宋体" w:hAnsi="宋体"/>
          <w:sz w:val="24"/>
        </w:rPr>
      </w:pPr>
      <w:r>
        <w:rPr>
          <w:rFonts w:hint="eastAsia" w:ascii="宋体" w:hAnsi="宋体"/>
          <w:sz w:val="24"/>
        </w:rPr>
        <w:t>3）尺寸：900*450*1800</w:t>
      </w:r>
    </w:p>
    <w:p w14:paraId="5177DB5B">
      <w:pPr>
        <w:spacing w:line="360" w:lineRule="auto"/>
        <w:ind w:firstLine="482" w:firstLineChars="200"/>
        <w:contextualSpacing/>
        <w:rPr>
          <w:rFonts w:ascii="宋体" w:hAnsi="宋体"/>
          <w:b/>
          <w:bCs/>
          <w:sz w:val="24"/>
        </w:rPr>
      </w:pPr>
      <w:r>
        <w:rPr>
          <w:rFonts w:hint="eastAsia" w:ascii="宋体" w:hAnsi="宋体"/>
          <w:b/>
          <w:bCs/>
          <w:sz w:val="24"/>
        </w:rPr>
        <w:t>普通试剂柜1个，需求如下：</w:t>
      </w:r>
    </w:p>
    <w:p w14:paraId="3DEF68CA">
      <w:pPr>
        <w:spacing w:line="360" w:lineRule="auto"/>
        <w:ind w:firstLine="480" w:firstLineChars="200"/>
        <w:contextualSpacing/>
        <w:rPr>
          <w:rFonts w:ascii="宋体" w:hAnsi="宋体"/>
          <w:sz w:val="24"/>
        </w:rPr>
      </w:pPr>
      <w:r>
        <w:rPr>
          <w:rFonts w:hint="eastAsia" w:ascii="宋体" w:hAnsi="宋体"/>
          <w:sz w:val="24"/>
        </w:rPr>
        <w:t>1）柜体：采用1.0mm厚优质冷轧钢板，所有工件经模具冲压折弯焊接而成，焊接部分打磨、抛光处理平滑过渡，焊点无毛刺及假焊，构造表面经酸洗、磷化、环氧树脂粉末静电喷涂；</w:t>
      </w:r>
    </w:p>
    <w:p w14:paraId="71985DFF">
      <w:pPr>
        <w:spacing w:line="360" w:lineRule="auto"/>
        <w:ind w:firstLine="480" w:firstLineChars="200"/>
        <w:contextualSpacing/>
        <w:rPr>
          <w:rFonts w:ascii="宋体" w:hAnsi="宋体"/>
          <w:sz w:val="24"/>
        </w:rPr>
      </w:pPr>
      <w:r>
        <w:rPr>
          <w:rFonts w:hint="eastAsia" w:ascii="宋体" w:hAnsi="宋体"/>
          <w:sz w:val="24"/>
        </w:rPr>
        <w:t>2）柜</w:t>
      </w:r>
      <w:r>
        <w:rPr>
          <w:rFonts w:hint="eastAsia" w:ascii="微软雅黑" w:hAnsi="微软雅黑" w:eastAsia="微软雅黑" w:cs="微软雅黑"/>
          <w:sz w:val="24"/>
        </w:rPr>
        <w:t>⻔</w:t>
      </w:r>
      <w:r>
        <w:rPr>
          <w:rFonts w:hint="eastAsia" w:ascii="宋体" w:hAnsi="宋体" w:cs="宋体"/>
          <w:sz w:val="24"/>
        </w:rPr>
        <w:t>：优质冷轧钢板</w:t>
      </w:r>
      <w:r>
        <w:rPr>
          <w:rFonts w:ascii="宋体" w:hAnsi="宋体"/>
          <w:sz w:val="24"/>
        </w:rPr>
        <w:t>1.0mm</w:t>
      </w:r>
      <w:r>
        <w:rPr>
          <w:rFonts w:hint="eastAsia" w:ascii="宋体" w:hAnsi="宋体"/>
          <w:sz w:val="24"/>
        </w:rPr>
        <w:t>厚冲压而成，上柜为镶嵌玻璃掩</w:t>
      </w:r>
      <w:r>
        <w:rPr>
          <w:rFonts w:hint="eastAsia" w:ascii="微软雅黑" w:hAnsi="微软雅黑" w:eastAsia="微软雅黑" w:cs="微软雅黑"/>
          <w:sz w:val="24"/>
        </w:rPr>
        <w:t>⻔</w:t>
      </w:r>
      <w:r>
        <w:rPr>
          <w:rFonts w:hint="eastAsia" w:ascii="宋体" w:hAnsi="宋体" w:cs="宋体"/>
          <w:sz w:val="24"/>
        </w:rPr>
        <w:t>，带两层活动层板</w:t>
      </w:r>
      <w:r>
        <w:rPr>
          <w:rFonts w:ascii="宋体" w:hAnsi="宋体"/>
          <w:sz w:val="24"/>
        </w:rPr>
        <w:t>(</w:t>
      </w:r>
      <w:r>
        <w:rPr>
          <w:rFonts w:hint="eastAsia" w:ascii="宋体" w:hAnsi="宋体"/>
          <w:sz w:val="24"/>
        </w:rPr>
        <w:t>可调节）；下柜为实掩</w:t>
      </w:r>
      <w:r>
        <w:rPr>
          <w:rFonts w:hint="eastAsia" w:ascii="微软雅黑" w:hAnsi="微软雅黑" w:eastAsia="微软雅黑" w:cs="微软雅黑"/>
          <w:sz w:val="24"/>
        </w:rPr>
        <w:t>⻔</w:t>
      </w:r>
      <w:r>
        <w:rPr>
          <w:rFonts w:hint="eastAsia" w:ascii="宋体" w:hAnsi="宋体" w:cs="宋体"/>
          <w:sz w:val="24"/>
        </w:rPr>
        <w:t>，带一层活动层板。活动层板采用</w:t>
      </w:r>
      <w:r>
        <w:rPr>
          <w:rFonts w:ascii="宋体" w:hAnsi="宋体"/>
          <w:sz w:val="24"/>
        </w:rPr>
        <w:t>1.0mm</w:t>
      </w:r>
      <w:r>
        <w:rPr>
          <w:rFonts w:hint="eastAsia" w:ascii="宋体" w:hAnsi="宋体"/>
          <w:sz w:val="24"/>
        </w:rPr>
        <w:t>厚优质冷轧钢板冲压而成并焊U型加强板，表面经酸洗、磷化、静电粉末喷涂处理；采用铝合金</w:t>
      </w:r>
      <w:r>
        <w:rPr>
          <w:rFonts w:hint="eastAsia" w:ascii="微软雅黑" w:hAnsi="微软雅黑" w:eastAsia="微软雅黑" w:cs="微软雅黑"/>
          <w:sz w:val="24"/>
        </w:rPr>
        <w:t>⻓</w:t>
      </w:r>
      <w:r>
        <w:rPr>
          <w:rFonts w:hint="eastAsia" w:ascii="宋体" w:hAnsi="宋体" w:cs="宋体"/>
          <w:sz w:val="24"/>
        </w:rPr>
        <w:t>条拉</w:t>
      </w:r>
      <w:r>
        <w:rPr>
          <w:rFonts w:hint="eastAsia" w:ascii="宋体" w:hAnsi="宋体"/>
          <w:sz w:val="24"/>
        </w:rPr>
        <w:t>手；铰链：不锈钢缓冲铰链；可调脚：专用地脚尼</w:t>
      </w:r>
      <w:r>
        <w:rPr>
          <w:rFonts w:hint="eastAsia" w:ascii="微软雅黑" w:hAnsi="微软雅黑" w:eastAsia="微软雅黑" w:cs="微软雅黑"/>
          <w:sz w:val="24"/>
        </w:rPr>
        <w:t>⻰</w:t>
      </w:r>
      <w:r>
        <w:rPr>
          <w:rFonts w:hint="eastAsia" w:ascii="宋体" w:hAnsi="宋体" w:cs="宋体"/>
          <w:sz w:val="24"/>
        </w:rPr>
        <w:t>压铸不锈钢螺杆</w:t>
      </w:r>
    </w:p>
    <w:p w14:paraId="19FBBC80">
      <w:pPr>
        <w:spacing w:line="360" w:lineRule="auto"/>
        <w:ind w:firstLine="480" w:firstLineChars="200"/>
        <w:contextualSpacing/>
        <w:rPr>
          <w:rFonts w:ascii="宋体" w:hAnsi="宋体"/>
          <w:sz w:val="24"/>
        </w:rPr>
      </w:pPr>
      <w:r>
        <w:rPr>
          <w:rFonts w:hint="eastAsia" w:ascii="宋体" w:hAnsi="宋体"/>
          <w:sz w:val="24"/>
        </w:rPr>
        <w:t>3）尺寸：900*450*1800</w:t>
      </w:r>
    </w:p>
    <w:p w14:paraId="0AAD488C">
      <w:pPr>
        <w:spacing w:line="360" w:lineRule="auto"/>
        <w:ind w:firstLine="480"/>
        <w:contextualSpacing/>
        <w:rPr>
          <w:rFonts w:ascii="宋体" w:hAnsi="宋体"/>
          <w:b/>
          <w:bCs/>
          <w:sz w:val="24"/>
        </w:rPr>
      </w:pPr>
      <w:r>
        <w:rPr>
          <w:rFonts w:hint="eastAsia" w:ascii="宋体" w:hAnsi="宋体"/>
          <w:b/>
          <w:bCs/>
          <w:sz w:val="24"/>
        </w:rPr>
        <w:t>（2）实验室危废监管，包括固废、废液等。</w:t>
      </w:r>
    </w:p>
    <w:p w14:paraId="69013F76">
      <w:pPr>
        <w:spacing w:line="360" w:lineRule="auto"/>
        <w:ind w:firstLine="482" w:firstLineChars="200"/>
        <w:contextualSpacing/>
        <w:rPr>
          <w:rFonts w:ascii="宋体" w:hAnsi="宋体"/>
          <w:b/>
          <w:bCs/>
          <w:sz w:val="24"/>
        </w:rPr>
      </w:pPr>
      <w:r>
        <w:rPr>
          <w:rFonts w:hint="eastAsia" w:ascii="宋体" w:hAnsi="宋体"/>
          <w:b/>
          <w:bCs/>
          <w:sz w:val="24"/>
        </w:rPr>
        <w:t>24口交换机1台，需求如下：</w:t>
      </w:r>
    </w:p>
    <w:p w14:paraId="401B5935">
      <w:pPr>
        <w:spacing w:line="360" w:lineRule="auto"/>
        <w:ind w:firstLine="480" w:firstLineChars="200"/>
        <w:contextualSpacing/>
        <w:rPr>
          <w:rFonts w:ascii="宋体" w:hAnsi="宋体"/>
          <w:sz w:val="24"/>
        </w:rPr>
      </w:pPr>
      <w:r>
        <w:rPr>
          <w:rFonts w:hint="eastAsia" w:ascii="宋体" w:hAnsi="宋体"/>
          <w:sz w:val="24"/>
        </w:rPr>
        <w:t>1）24口千兆poe交换机。</w:t>
      </w:r>
    </w:p>
    <w:p w14:paraId="032C64BE">
      <w:pPr>
        <w:spacing w:line="360" w:lineRule="auto"/>
        <w:ind w:firstLine="480" w:firstLineChars="200"/>
        <w:contextualSpacing/>
        <w:rPr>
          <w:rFonts w:ascii="宋体" w:hAnsi="宋体"/>
          <w:sz w:val="24"/>
        </w:rPr>
      </w:pPr>
      <w:r>
        <w:rPr>
          <w:rFonts w:hint="eastAsia" w:ascii="宋体" w:hAnsi="宋体"/>
          <w:sz w:val="24"/>
        </w:rPr>
        <w:t>2）交换容量：52Gbps；</w:t>
      </w:r>
    </w:p>
    <w:p w14:paraId="178C490E">
      <w:pPr>
        <w:spacing w:line="360" w:lineRule="auto"/>
        <w:ind w:firstLine="480" w:firstLineChars="200"/>
        <w:contextualSpacing/>
        <w:rPr>
          <w:rFonts w:ascii="宋体" w:hAnsi="宋体"/>
          <w:sz w:val="24"/>
        </w:rPr>
      </w:pPr>
      <w:r>
        <w:rPr>
          <w:rFonts w:hint="eastAsia" w:ascii="宋体" w:hAnsi="宋体"/>
          <w:sz w:val="24"/>
        </w:rPr>
        <w:t>3）包转发率：38Mpps。</w:t>
      </w:r>
    </w:p>
    <w:p w14:paraId="2740B792">
      <w:pPr>
        <w:spacing w:line="360" w:lineRule="auto"/>
        <w:ind w:firstLine="482" w:firstLineChars="200"/>
        <w:contextualSpacing/>
        <w:rPr>
          <w:rFonts w:ascii="宋体" w:hAnsi="宋体"/>
          <w:b/>
          <w:bCs/>
          <w:sz w:val="24"/>
        </w:rPr>
      </w:pPr>
      <w:r>
        <w:rPr>
          <w:rFonts w:hint="eastAsia" w:ascii="宋体" w:hAnsi="宋体"/>
          <w:b/>
          <w:bCs/>
          <w:sz w:val="24"/>
        </w:rPr>
        <w:t>9U机柜1个，需求如下：</w:t>
      </w:r>
    </w:p>
    <w:p w14:paraId="75AA2B06">
      <w:pPr>
        <w:spacing w:line="360" w:lineRule="auto"/>
        <w:ind w:firstLine="480" w:firstLineChars="200"/>
        <w:contextualSpacing/>
        <w:rPr>
          <w:rFonts w:ascii="宋体" w:hAnsi="宋体"/>
          <w:sz w:val="24"/>
        </w:rPr>
      </w:pPr>
      <w:r>
        <w:rPr>
          <w:rFonts w:hint="eastAsia" w:ascii="宋体" w:hAnsi="宋体"/>
          <w:sz w:val="24"/>
        </w:rPr>
        <w:t>1）材质：冷轧钢材质</w:t>
      </w:r>
    </w:p>
    <w:p w14:paraId="6FF5262D">
      <w:pPr>
        <w:spacing w:line="360" w:lineRule="auto"/>
        <w:ind w:firstLine="480" w:firstLineChars="200"/>
        <w:contextualSpacing/>
        <w:rPr>
          <w:rFonts w:ascii="宋体" w:hAnsi="宋体"/>
          <w:sz w:val="24"/>
        </w:rPr>
      </w:pPr>
      <w:r>
        <w:rPr>
          <w:rFonts w:hint="eastAsia" w:ascii="宋体" w:hAnsi="宋体"/>
          <w:sz w:val="24"/>
        </w:rPr>
        <w:t>2）尺寸：600x450x500mm</w:t>
      </w:r>
    </w:p>
    <w:p w14:paraId="1A8B4BF6">
      <w:pPr>
        <w:spacing w:line="360" w:lineRule="auto"/>
        <w:ind w:firstLine="482" w:firstLineChars="200"/>
        <w:contextualSpacing/>
        <w:rPr>
          <w:rFonts w:ascii="宋体" w:hAnsi="宋体"/>
          <w:b/>
          <w:bCs/>
          <w:sz w:val="24"/>
        </w:rPr>
      </w:pPr>
      <w:r>
        <w:rPr>
          <w:rFonts w:hint="eastAsia" w:ascii="宋体" w:hAnsi="宋体"/>
          <w:b/>
          <w:bCs/>
          <w:sz w:val="24"/>
        </w:rPr>
        <w:t>（三）实验室装修改造</w:t>
      </w:r>
    </w:p>
    <w:p w14:paraId="6D785E6A">
      <w:pPr>
        <w:spacing w:line="360" w:lineRule="auto"/>
        <w:ind w:firstLine="482" w:firstLineChars="200"/>
        <w:contextualSpacing/>
        <w:rPr>
          <w:rFonts w:ascii="宋体" w:hAnsi="宋体"/>
          <w:b/>
          <w:bCs/>
          <w:sz w:val="24"/>
        </w:rPr>
      </w:pPr>
      <w:r>
        <w:rPr>
          <w:rFonts w:hint="eastAsia" w:ascii="宋体" w:hAnsi="宋体"/>
          <w:b/>
          <w:bCs/>
          <w:sz w:val="24"/>
        </w:rPr>
        <w:t>1</w:t>
      </w:r>
      <w:r>
        <w:rPr>
          <w:rFonts w:ascii="宋体" w:hAnsi="宋体"/>
          <w:b/>
          <w:bCs/>
          <w:sz w:val="24"/>
        </w:rPr>
        <w:t xml:space="preserve">. </w:t>
      </w:r>
      <w:r>
        <w:rPr>
          <w:rFonts w:hint="eastAsia" w:ascii="宋体" w:hAnsi="宋体"/>
          <w:b/>
          <w:bCs/>
          <w:sz w:val="24"/>
        </w:rPr>
        <w:t>实验室内部环境重新装修，铺设橡胶地面，墙面粉刷、阴面做防水，架设吊顶，安装L</w:t>
      </w:r>
      <w:r>
        <w:rPr>
          <w:rFonts w:ascii="宋体" w:hAnsi="宋体"/>
          <w:b/>
          <w:bCs/>
          <w:sz w:val="24"/>
        </w:rPr>
        <w:t>ED</w:t>
      </w:r>
      <w:r>
        <w:rPr>
          <w:rFonts w:hint="eastAsia" w:ascii="宋体" w:hAnsi="宋体"/>
          <w:b/>
          <w:bCs/>
          <w:sz w:val="24"/>
        </w:rPr>
        <w:t>照明灯等。</w:t>
      </w:r>
    </w:p>
    <w:p w14:paraId="66F04DE0">
      <w:pPr>
        <w:spacing w:line="360" w:lineRule="auto"/>
        <w:ind w:firstLine="482" w:firstLineChars="200"/>
        <w:contextualSpacing/>
        <w:rPr>
          <w:rFonts w:ascii="宋体" w:hAnsi="宋体"/>
          <w:b/>
          <w:bCs/>
          <w:sz w:val="24"/>
        </w:rPr>
      </w:pPr>
      <w:r>
        <w:rPr>
          <w:rFonts w:hint="eastAsia" w:ascii="宋体" w:hAnsi="宋体"/>
          <w:b/>
          <w:bCs/>
          <w:sz w:val="24"/>
        </w:rPr>
        <w:t>房间隔断19.84平米，需求如下：</w:t>
      </w:r>
    </w:p>
    <w:p w14:paraId="05CBA724">
      <w:pPr>
        <w:spacing w:line="360" w:lineRule="auto"/>
        <w:ind w:firstLine="480" w:firstLineChars="200"/>
        <w:contextualSpacing/>
        <w:rPr>
          <w:rFonts w:ascii="宋体" w:hAnsi="宋体"/>
          <w:sz w:val="24"/>
        </w:rPr>
      </w:pPr>
      <w:r>
        <w:rPr>
          <w:rFonts w:hint="eastAsia" w:ascii="宋体" w:hAnsi="宋体"/>
          <w:sz w:val="24"/>
        </w:rPr>
        <w:t>（1）80型铝合金材质框架；</w:t>
      </w:r>
    </w:p>
    <w:p w14:paraId="20BF6CC7">
      <w:pPr>
        <w:spacing w:line="360" w:lineRule="auto"/>
        <w:ind w:firstLine="480" w:firstLineChars="200"/>
        <w:contextualSpacing/>
        <w:rPr>
          <w:rFonts w:ascii="宋体" w:hAnsi="宋体"/>
          <w:sz w:val="24"/>
        </w:rPr>
      </w:pPr>
      <w:r>
        <w:rPr>
          <w:rFonts w:hint="eastAsia" w:ascii="宋体" w:hAnsi="宋体"/>
          <w:sz w:val="24"/>
        </w:rPr>
        <w:t>（2）5mm双层钢化玻璃；</w:t>
      </w:r>
    </w:p>
    <w:p w14:paraId="250A416E">
      <w:pPr>
        <w:spacing w:line="360" w:lineRule="auto"/>
        <w:ind w:firstLine="480" w:firstLineChars="200"/>
        <w:contextualSpacing/>
        <w:rPr>
          <w:rFonts w:ascii="宋体" w:hAnsi="宋体"/>
          <w:sz w:val="24"/>
        </w:rPr>
      </w:pPr>
      <w:r>
        <w:rPr>
          <w:rFonts w:hint="eastAsia" w:ascii="宋体" w:hAnsi="宋体"/>
          <w:sz w:val="24"/>
        </w:rPr>
        <w:t>（3）含门。</w:t>
      </w:r>
    </w:p>
    <w:p w14:paraId="272C7850">
      <w:pPr>
        <w:spacing w:line="360" w:lineRule="auto"/>
        <w:ind w:firstLine="482" w:firstLineChars="200"/>
        <w:contextualSpacing/>
        <w:rPr>
          <w:rFonts w:ascii="宋体" w:hAnsi="宋体"/>
          <w:b/>
          <w:bCs/>
          <w:sz w:val="24"/>
        </w:rPr>
      </w:pPr>
      <w:r>
        <w:rPr>
          <w:rFonts w:hint="eastAsia" w:ascii="宋体" w:hAnsi="宋体"/>
          <w:b/>
          <w:bCs/>
          <w:sz w:val="24"/>
        </w:rPr>
        <w:t>地胶78.12㎡，需求如下：</w:t>
      </w:r>
    </w:p>
    <w:p w14:paraId="51C89CBB">
      <w:pPr>
        <w:spacing w:line="360" w:lineRule="auto"/>
        <w:ind w:firstLine="480" w:firstLineChars="200"/>
        <w:contextualSpacing/>
        <w:rPr>
          <w:rFonts w:ascii="宋体" w:hAnsi="宋体"/>
          <w:sz w:val="24"/>
        </w:rPr>
      </w:pPr>
      <w:r>
        <w:rPr>
          <w:rFonts w:hint="eastAsia" w:ascii="宋体" w:hAnsi="宋体"/>
          <w:sz w:val="24"/>
        </w:rPr>
        <w:t>（1）实验室专用地胶；</w:t>
      </w:r>
    </w:p>
    <w:p w14:paraId="178B3CEE">
      <w:pPr>
        <w:spacing w:line="360" w:lineRule="auto"/>
        <w:ind w:firstLine="480" w:firstLineChars="200"/>
        <w:contextualSpacing/>
        <w:rPr>
          <w:rFonts w:ascii="宋体" w:hAnsi="宋体"/>
          <w:sz w:val="24"/>
        </w:rPr>
      </w:pPr>
      <w:r>
        <w:rPr>
          <w:rFonts w:hint="eastAsia" w:ascii="宋体" w:hAnsi="宋体"/>
          <w:sz w:val="24"/>
        </w:rPr>
        <w:t>（2）厚度：2mm；</w:t>
      </w:r>
    </w:p>
    <w:p w14:paraId="7324C99F">
      <w:pPr>
        <w:spacing w:line="360" w:lineRule="auto"/>
        <w:ind w:firstLine="480" w:firstLineChars="200"/>
        <w:contextualSpacing/>
        <w:rPr>
          <w:rFonts w:ascii="宋体" w:hAnsi="宋体"/>
          <w:sz w:val="24"/>
        </w:rPr>
      </w:pPr>
      <w:r>
        <w:rPr>
          <w:rFonts w:hint="eastAsia" w:ascii="宋体" w:hAnsi="宋体"/>
          <w:sz w:val="24"/>
        </w:rPr>
        <w:t>（3）产品材质:橡胶。</w:t>
      </w:r>
    </w:p>
    <w:p w14:paraId="6DCDC964">
      <w:pPr>
        <w:spacing w:line="360" w:lineRule="auto"/>
        <w:ind w:firstLine="482" w:firstLineChars="200"/>
        <w:contextualSpacing/>
        <w:rPr>
          <w:rFonts w:ascii="宋体" w:hAnsi="宋体"/>
          <w:b/>
          <w:bCs/>
          <w:sz w:val="24"/>
        </w:rPr>
      </w:pPr>
      <w:r>
        <w:rPr>
          <w:rFonts w:hint="eastAsia" w:ascii="宋体" w:hAnsi="宋体"/>
          <w:b/>
          <w:bCs/>
          <w:sz w:val="24"/>
        </w:rPr>
        <w:t>吊顶78.12㎡，需求如下：</w:t>
      </w:r>
    </w:p>
    <w:p w14:paraId="6B632FB1">
      <w:pPr>
        <w:spacing w:line="360" w:lineRule="auto"/>
        <w:ind w:firstLine="480" w:firstLineChars="200"/>
        <w:contextualSpacing/>
        <w:rPr>
          <w:rFonts w:ascii="宋体" w:hAnsi="宋体"/>
          <w:sz w:val="24"/>
        </w:rPr>
      </w:pPr>
      <w:r>
        <w:rPr>
          <w:rFonts w:hint="eastAsia" w:ascii="宋体" w:hAnsi="宋体"/>
          <w:sz w:val="24"/>
        </w:rPr>
        <w:t>（1）70mm宽、5mm厚轻钢龙骨骨架；</w:t>
      </w:r>
    </w:p>
    <w:p w14:paraId="4FD5E1A0">
      <w:pPr>
        <w:spacing w:line="360" w:lineRule="auto"/>
        <w:ind w:firstLine="480" w:firstLineChars="200"/>
        <w:contextualSpacing/>
        <w:rPr>
          <w:rFonts w:ascii="宋体" w:hAnsi="宋体"/>
          <w:sz w:val="24"/>
        </w:rPr>
      </w:pPr>
      <w:r>
        <w:rPr>
          <w:rFonts w:hint="eastAsia" w:ascii="宋体" w:hAnsi="宋体"/>
          <w:sz w:val="24"/>
        </w:rPr>
        <w:t>（2）600*600mm洁净板封面。</w:t>
      </w:r>
    </w:p>
    <w:p w14:paraId="3C2D4ADB">
      <w:pPr>
        <w:spacing w:line="360" w:lineRule="auto"/>
        <w:ind w:firstLine="482" w:firstLineChars="200"/>
        <w:contextualSpacing/>
        <w:rPr>
          <w:rFonts w:ascii="宋体" w:hAnsi="宋体"/>
          <w:b/>
          <w:bCs/>
          <w:sz w:val="24"/>
        </w:rPr>
      </w:pPr>
      <w:r>
        <w:rPr>
          <w:rFonts w:hint="eastAsia" w:ascii="宋体" w:hAnsi="宋体"/>
          <w:b/>
          <w:bCs/>
          <w:sz w:val="24"/>
        </w:rPr>
        <w:t>墙面粉刷198.4㎡，需求如下：</w:t>
      </w:r>
    </w:p>
    <w:p w14:paraId="380AC5A7">
      <w:pPr>
        <w:spacing w:line="360" w:lineRule="auto"/>
        <w:ind w:firstLine="480" w:firstLineChars="200"/>
        <w:contextualSpacing/>
        <w:rPr>
          <w:rFonts w:ascii="宋体" w:hAnsi="宋体"/>
          <w:sz w:val="24"/>
        </w:rPr>
      </w:pPr>
      <w:r>
        <w:rPr>
          <w:rFonts w:hint="eastAsia" w:ascii="宋体" w:hAnsi="宋体"/>
          <w:sz w:val="24"/>
        </w:rPr>
        <w:t>（1）原有部分墙皮铲除；</w:t>
      </w:r>
    </w:p>
    <w:p w14:paraId="34269B4A">
      <w:pPr>
        <w:spacing w:line="360" w:lineRule="auto"/>
        <w:ind w:firstLine="480" w:firstLineChars="200"/>
        <w:contextualSpacing/>
        <w:rPr>
          <w:rFonts w:ascii="宋体" w:hAnsi="宋体"/>
          <w:sz w:val="24"/>
        </w:rPr>
      </w:pPr>
      <w:r>
        <w:rPr>
          <w:rFonts w:hint="eastAsia" w:ascii="宋体" w:hAnsi="宋体"/>
          <w:sz w:val="24"/>
        </w:rPr>
        <w:t>（2）刮两遍腻子；</w:t>
      </w:r>
    </w:p>
    <w:p w14:paraId="6874AC62">
      <w:pPr>
        <w:spacing w:line="360" w:lineRule="auto"/>
        <w:ind w:firstLine="480" w:firstLineChars="200"/>
        <w:contextualSpacing/>
        <w:rPr>
          <w:rFonts w:ascii="宋体" w:hAnsi="宋体"/>
          <w:sz w:val="24"/>
        </w:rPr>
      </w:pPr>
      <w:r>
        <w:rPr>
          <w:rFonts w:hint="eastAsia" w:ascii="宋体" w:hAnsi="宋体"/>
          <w:sz w:val="24"/>
        </w:rPr>
        <w:t>（3）两遍喷漆处理。</w:t>
      </w:r>
    </w:p>
    <w:p w14:paraId="1A932EBB">
      <w:pPr>
        <w:spacing w:line="360" w:lineRule="auto"/>
        <w:ind w:firstLine="482" w:firstLineChars="200"/>
        <w:contextualSpacing/>
        <w:rPr>
          <w:rFonts w:ascii="宋体" w:hAnsi="宋体"/>
          <w:b/>
          <w:bCs/>
          <w:sz w:val="24"/>
        </w:rPr>
      </w:pPr>
      <w:r>
        <w:rPr>
          <w:rFonts w:hint="eastAsia" w:ascii="宋体" w:hAnsi="宋体"/>
          <w:b/>
          <w:bCs/>
          <w:sz w:val="24"/>
        </w:rPr>
        <w:t>平板灯8个，需求如下：</w:t>
      </w:r>
    </w:p>
    <w:p w14:paraId="135D7283">
      <w:pPr>
        <w:spacing w:line="360" w:lineRule="auto"/>
        <w:ind w:firstLine="480" w:firstLineChars="200"/>
        <w:contextualSpacing/>
        <w:rPr>
          <w:rFonts w:ascii="宋体" w:hAnsi="宋体"/>
          <w:sz w:val="24"/>
        </w:rPr>
      </w:pPr>
      <w:r>
        <w:rPr>
          <w:rFonts w:hint="eastAsia" w:ascii="宋体" w:hAnsi="宋体"/>
          <w:sz w:val="24"/>
        </w:rPr>
        <w:t>（1）600*600平板</w:t>
      </w:r>
    </w:p>
    <w:p w14:paraId="0ED50A4D">
      <w:pPr>
        <w:spacing w:line="360" w:lineRule="auto"/>
        <w:ind w:firstLine="482" w:firstLineChars="200"/>
        <w:contextualSpacing/>
        <w:rPr>
          <w:rFonts w:ascii="宋体" w:hAnsi="宋体"/>
          <w:b/>
          <w:bCs/>
          <w:sz w:val="24"/>
        </w:rPr>
      </w:pPr>
      <w:r>
        <w:rPr>
          <w:rFonts w:hint="eastAsia" w:ascii="宋体" w:hAnsi="宋体"/>
          <w:b/>
          <w:bCs/>
          <w:sz w:val="24"/>
        </w:rPr>
        <w:t>施工布线1项，需求如下：</w:t>
      </w:r>
    </w:p>
    <w:p w14:paraId="61C7F6DF">
      <w:pPr>
        <w:spacing w:line="360" w:lineRule="auto"/>
        <w:ind w:firstLine="480" w:firstLineChars="200"/>
        <w:contextualSpacing/>
        <w:rPr>
          <w:rFonts w:ascii="宋体" w:hAnsi="宋体"/>
          <w:sz w:val="24"/>
        </w:rPr>
      </w:pPr>
      <w:r>
        <w:rPr>
          <w:rFonts w:hint="eastAsia" w:ascii="宋体" w:hAnsi="宋体"/>
          <w:sz w:val="24"/>
        </w:rPr>
        <w:t>（1）现场施工及辅材；</w:t>
      </w:r>
    </w:p>
    <w:p w14:paraId="7956D9E4">
      <w:pPr>
        <w:spacing w:line="360" w:lineRule="auto"/>
        <w:ind w:firstLine="480" w:firstLineChars="200"/>
        <w:contextualSpacing/>
        <w:rPr>
          <w:rFonts w:ascii="宋体" w:hAnsi="宋体"/>
          <w:sz w:val="24"/>
        </w:rPr>
      </w:pPr>
      <w:r>
        <w:rPr>
          <w:rFonts w:hint="eastAsia" w:ascii="宋体" w:hAnsi="宋体"/>
          <w:sz w:val="24"/>
        </w:rPr>
        <w:t>（2）线路改造；</w:t>
      </w:r>
    </w:p>
    <w:p w14:paraId="2B2D8661">
      <w:pPr>
        <w:spacing w:line="360" w:lineRule="auto"/>
        <w:ind w:firstLine="480" w:firstLineChars="200"/>
        <w:contextualSpacing/>
        <w:rPr>
          <w:rFonts w:ascii="宋体" w:hAnsi="宋体"/>
          <w:sz w:val="24"/>
        </w:rPr>
      </w:pPr>
      <w:r>
        <w:rPr>
          <w:rFonts w:hint="eastAsia" w:ascii="宋体" w:hAnsi="宋体"/>
          <w:sz w:val="24"/>
        </w:rPr>
        <w:t>（3）不包含现场设备清理。</w:t>
      </w:r>
    </w:p>
    <w:p w14:paraId="7999CBDE">
      <w:pPr>
        <w:spacing w:line="360" w:lineRule="auto"/>
        <w:ind w:firstLine="482" w:firstLineChars="200"/>
        <w:contextualSpacing/>
        <w:rPr>
          <w:rFonts w:ascii="宋体" w:hAnsi="宋体"/>
          <w:b/>
          <w:bCs/>
          <w:sz w:val="24"/>
        </w:rPr>
      </w:pPr>
      <w:r>
        <w:rPr>
          <w:rFonts w:hint="eastAsia" w:ascii="宋体" w:hAnsi="宋体"/>
          <w:b/>
          <w:bCs/>
          <w:sz w:val="24"/>
        </w:rPr>
        <w:t>2</w:t>
      </w:r>
      <w:r>
        <w:rPr>
          <w:rFonts w:ascii="宋体" w:hAnsi="宋体"/>
          <w:b/>
          <w:bCs/>
          <w:sz w:val="24"/>
        </w:rPr>
        <w:t xml:space="preserve">. </w:t>
      </w:r>
      <w:r>
        <w:rPr>
          <w:rFonts w:hint="eastAsia" w:ascii="宋体" w:hAnsi="宋体"/>
          <w:b/>
          <w:bCs/>
          <w:sz w:val="24"/>
        </w:rPr>
        <w:t>学生学习区重新布置工位，满足1</w:t>
      </w:r>
      <w:r>
        <w:rPr>
          <w:rFonts w:ascii="宋体" w:hAnsi="宋体"/>
          <w:b/>
          <w:bCs/>
          <w:sz w:val="24"/>
        </w:rPr>
        <w:t>2</w:t>
      </w:r>
      <w:r>
        <w:rPr>
          <w:rFonts w:hint="eastAsia" w:ascii="宋体" w:hAnsi="宋体"/>
          <w:b/>
          <w:bCs/>
          <w:sz w:val="24"/>
        </w:rPr>
        <w:t>名学生同时学习。</w:t>
      </w:r>
    </w:p>
    <w:p w14:paraId="5482F38C">
      <w:pPr>
        <w:spacing w:line="360" w:lineRule="auto"/>
        <w:ind w:firstLine="482" w:firstLineChars="200"/>
        <w:contextualSpacing/>
        <w:rPr>
          <w:rFonts w:ascii="宋体" w:hAnsi="宋体"/>
          <w:b/>
          <w:bCs/>
          <w:sz w:val="24"/>
        </w:rPr>
      </w:pPr>
      <w:r>
        <w:rPr>
          <w:rFonts w:hint="eastAsia" w:ascii="宋体" w:hAnsi="宋体"/>
          <w:b/>
          <w:bCs/>
          <w:sz w:val="24"/>
        </w:rPr>
        <w:t>学生区桌椅12套，需求如下：</w:t>
      </w:r>
    </w:p>
    <w:p w14:paraId="1EF42441">
      <w:pPr>
        <w:spacing w:line="360" w:lineRule="auto"/>
        <w:ind w:firstLine="480" w:firstLineChars="200"/>
        <w:contextualSpacing/>
        <w:rPr>
          <w:rFonts w:ascii="宋体" w:hAnsi="宋体"/>
          <w:sz w:val="24"/>
        </w:rPr>
      </w:pPr>
      <w:r>
        <w:rPr>
          <w:rFonts w:hint="eastAsia" w:ascii="宋体" w:hAnsi="宋体"/>
          <w:sz w:val="24"/>
        </w:rPr>
        <w:t>（1）定制学生桌；</w:t>
      </w:r>
    </w:p>
    <w:p w14:paraId="7F0F98EC">
      <w:pPr>
        <w:spacing w:line="360" w:lineRule="auto"/>
        <w:ind w:firstLine="480" w:firstLineChars="200"/>
        <w:contextualSpacing/>
        <w:rPr>
          <w:rFonts w:ascii="宋体" w:hAnsi="宋体"/>
          <w:sz w:val="24"/>
        </w:rPr>
      </w:pPr>
      <w:r>
        <w:rPr>
          <w:rFonts w:hint="eastAsia" w:ascii="宋体" w:hAnsi="宋体"/>
          <w:sz w:val="24"/>
        </w:rPr>
        <w:t>（2）含书架及椅子；</w:t>
      </w:r>
    </w:p>
    <w:p w14:paraId="67BA277B">
      <w:pPr>
        <w:spacing w:line="360" w:lineRule="auto"/>
        <w:ind w:firstLine="480" w:firstLineChars="200"/>
        <w:contextualSpacing/>
        <w:rPr>
          <w:rFonts w:ascii="宋体" w:hAnsi="宋体"/>
          <w:sz w:val="24"/>
        </w:rPr>
      </w:pPr>
      <w:r>
        <w:rPr>
          <w:rFonts w:hint="eastAsia" w:ascii="宋体" w:hAnsi="宋体"/>
          <w:sz w:val="24"/>
        </w:rPr>
        <w:t>（3）尺宽：宽750mm，高2000mm。</w:t>
      </w:r>
    </w:p>
    <w:p w14:paraId="5463BC69">
      <w:pPr>
        <w:spacing w:line="360" w:lineRule="auto"/>
        <w:ind w:firstLine="482" w:firstLineChars="200"/>
        <w:contextualSpacing/>
        <w:rPr>
          <w:rFonts w:ascii="宋体" w:hAnsi="宋体"/>
          <w:b/>
          <w:bCs/>
          <w:sz w:val="24"/>
        </w:rPr>
      </w:pPr>
      <w:r>
        <w:rPr>
          <w:rFonts w:hint="eastAsia" w:ascii="宋体" w:hAnsi="宋体"/>
          <w:b/>
          <w:bCs/>
          <w:sz w:val="24"/>
        </w:rPr>
        <w:t>3</w:t>
      </w:r>
      <w:r>
        <w:rPr>
          <w:rFonts w:ascii="宋体" w:hAnsi="宋体"/>
          <w:b/>
          <w:bCs/>
          <w:sz w:val="24"/>
        </w:rPr>
        <w:t xml:space="preserve">. </w:t>
      </w:r>
      <w:r>
        <w:rPr>
          <w:rFonts w:hint="eastAsia" w:ascii="宋体" w:hAnsi="宋体"/>
          <w:b/>
          <w:bCs/>
          <w:sz w:val="24"/>
        </w:rPr>
        <w:t>实验室实验台面、水槽，通风橱换新改造，根据现场情况布局。</w:t>
      </w:r>
    </w:p>
    <w:p w14:paraId="361E77E6">
      <w:pPr>
        <w:spacing w:line="360" w:lineRule="auto"/>
        <w:ind w:firstLine="482" w:firstLineChars="200"/>
        <w:contextualSpacing/>
        <w:rPr>
          <w:rFonts w:ascii="宋体" w:hAnsi="宋体"/>
          <w:b/>
          <w:bCs/>
          <w:sz w:val="24"/>
        </w:rPr>
      </w:pPr>
      <w:r>
        <w:rPr>
          <w:rFonts w:hint="eastAsia" w:ascii="宋体" w:hAnsi="宋体"/>
          <w:b/>
          <w:bCs/>
          <w:sz w:val="24"/>
        </w:rPr>
        <w:t>实验柜11.2㎡，需求如下：</w:t>
      </w:r>
    </w:p>
    <w:p w14:paraId="2155165A">
      <w:pPr>
        <w:spacing w:line="360" w:lineRule="auto"/>
        <w:ind w:firstLine="480" w:firstLineChars="200"/>
        <w:contextualSpacing/>
        <w:rPr>
          <w:rFonts w:ascii="宋体" w:hAnsi="宋体"/>
          <w:sz w:val="24"/>
        </w:rPr>
      </w:pPr>
      <w:r>
        <w:rPr>
          <w:rFonts w:hint="eastAsia" w:ascii="宋体" w:hAnsi="宋体"/>
          <w:sz w:val="24"/>
        </w:rPr>
        <w:t>（1）全钢结构：12.7MM实芯理化板台面；柜体：采用1.0mm厚优质冷轧钢板，所有工件经模具冲压折弯焊接而成，焊接部分打磨、抛光处理平滑过渡，焊点无毛刺及假焊，构造表面经酸洗、磷化、环氧树脂粉末静电喷涂。</w:t>
      </w:r>
    </w:p>
    <w:p w14:paraId="3D7644DA">
      <w:pPr>
        <w:spacing w:line="360" w:lineRule="auto"/>
        <w:ind w:firstLine="480" w:firstLineChars="200"/>
        <w:contextualSpacing/>
        <w:rPr>
          <w:rFonts w:ascii="宋体" w:hAnsi="宋体"/>
          <w:sz w:val="24"/>
        </w:rPr>
      </w:pPr>
      <w:r>
        <w:rPr>
          <w:rFonts w:hint="eastAsia" w:ascii="宋体" w:hAnsi="宋体"/>
          <w:sz w:val="24"/>
        </w:rPr>
        <w:t>（2）拉手：采用铝合金</w:t>
      </w:r>
      <w:r>
        <w:rPr>
          <w:rFonts w:hint="eastAsia" w:ascii="微软雅黑" w:hAnsi="微软雅黑" w:eastAsia="微软雅黑" w:cs="微软雅黑"/>
          <w:sz w:val="24"/>
        </w:rPr>
        <w:t>⻓</w:t>
      </w:r>
      <w:r>
        <w:rPr>
          <w:rFonts w:hint="eastAsia" w:ascii="宋体" w:hAnsi="宋体" w:cs="宋体"/>
          <w:sz w:val="24"/>
        </w:rPr>
        <w:t>条拉手；</w:t>
      </w:r>
    </w:p>
    <w:p w14:paraId="1A7F0C1E">
      <w:pPr>
        <w:spacing w:line="360" w:lineRule="auto"/>
        <w:ind w:firstLine="480" w:firstLineChars="200"/>
        <w:contextualSpacing/>
        <w:rPr>
          <w:rFonts w:ascii="宋体" w:hAnsi="宋体"/>
          <w:sz w:val="24"/>
        </w:rPr>
      </w:pPr>
      <w:r>
        <w:rPr>
          <w:rFonts w:hint="eastAsia" w:ascii="宋体" w:hAnsi="宋体"/>
          <w:sz w:val="24"/>
        </w:rPr>
        <w:t>（3）滑轨：静音三节滑轨；</w:t>
      </w:r>
    </w:p>
    <w:p w14:paraId="20510C20">
      <w:pPr>
        <w:spacing w:line="360" w:lineRule="auto"/>
        <w:ind w:firstLine="480" w:firstLineChars="200"/>
        <w:contextualSpacing/>
        <w:rPr>
          <w:rFonts w:ascii="宋体" w:hAnsi="宋体"/>
          <w:sz w:val="24"/>
        </w:rPr>
      </w:pPr>
      <w:r>
        <w:rPr>
          <w:rFonts w:hint="eastAsia" w:ascii="宋体" w:hAnsi="宋体"/>
          <w:sz w:val="24"/>
        </w:rPr>
        <w:t>（4）铰链：不锈钢自闭式合金铰链；</w:t>
      </w:r>
    </w:p>
    <w:p w14:paraId="3B9604CB">
      <w:pPr>
        <w:spacing w:line="360" w:lineRule="auto"/>
        <w:ind w:firstLine="480" w:firstLineChars="200"/>
        <w:contextualSpacing/>
        <w:rPr>
          <w:rFonts w:ascii="宋体" w:hAnsi="宋体"/>
          <w:sz w:val="24"/>
        </w:rPr>
      </w:pPr>
      <w:r>
        <w:rPr>
          <w:rFonts w:hint="eastAsia" w:ascii="宋体" w:hAnsi="宋体"/>
          <w:sz w:val="24"/>
        </w:rPr>
        <w:t>（5）可调脚：专用地脚尼</w:t>
      </w:r>
      <w:r>
        <w:rPr>
          <w:rFonts w:hint="eastAsia" w:ascii="微软雅黑" w:hAnsi="微软雅黑" w:eastAsia="微软雅黑" w:cs="微软雅黑"/>
          <w:sz w:val="24"/>
        </w:rPr>
        <w:t>⻰</w:t>
      </w:r>
      <w:r>
        <w:rPr>
          <w:rFonts w:hint="eastAsia" w:ascii="宋体" w:hAnsi="宋体" w:cs="宋体"/>
          <w:sz w:val="24"/>
        </w:rPr>
        <w:t>铸不锈钢螺杆；</w:t>
      </w:r>
    </w:p>
    <w:p w14:paraId="2345BB56">
      <w:pPr>
        <w:spacing w:line="360" w:lineRule="auto"/>
        <w:ind w:firstLine="480" w:firstLineChars="200"/>
        <w:contextualSpacing/>
        <w:rPr>
          <w:rFonts w:ascii="宋体" w:hAnsi="宋体"/>
          <w:sz w:val="24"/>
        </w:rPr>
      </w:pPr>
      <w:r>
        <w:rPr>
          <w:rFonts w:hint="eastAsia" w:ascii="宋体" w:hAnsi="宋体"/>
          <w:sz w:val="24"/>
        </w:rPr>
        <w:t>（6）含试剂架；</w:t>
      </w:r>
    </w:p>
    <w:p w14:paraId="76081FD9">
      <w:pPr>
        <w:spacing w:line="360" w:lineRule="auto"/>
        <w:ind w:firstLine="480" w:firstLineChars="200"/>
        <w:contextualSpacing/>
        <w:rPr>
          <w:rFonts w:ascii="宋体" w:hAnsi="宋体"/>
          <w:sz w:val="24"/>
        </w:rPr>
      </w:pPr>
      <w:r>
        <w:rPr>
          <w:rFonts w:hint="eastAsia" w:ascii="宋体" w:hAnsi="宋体"/>
          <w:sz w:val="24"/>
        </w:rPr>
        <w:t>（7）宽750mm，高850mm。</w:t>
      </w:r>
    </w:p>
    <w:p w14:paraId="6246028A">
      <w:pPr>
        <w:spacing w:line="360" w:lineRule="auto"/>
        <w:ind w:firstLine="482" w:firstLineChars="200"/>
        <w:contextualSpacing/>
        <w:rPr>
          <w:rFonts w:ascii="宋体" w:hAnsi="宋体"/>
          <w:b/>
          <w:bCs/>
          <w:sz w:val="24"/>
        </w:rPr>
      </w:pPr>
      <w:r>
        <w:rPr>
          <w:rFonts w:hint="eastAsia" w:ascii="宋体" w:hAnsi="宋体"/>
          <w:b/>
          <w:bCs/>
          <w:sz w:val="24"/>
        </w:rPr>
        <w:t>实验室边柜13.63㎡，需求如下：</w:t>
      </w:r>
    </w:p>
    <w:p w14:paraId="49FAF8C2">
      <w:pPr>
        <w:spacing w:line="360" w:lineRule="auto"/>
        <w:ind w:firstLine="480" w:firstLineChars="200"/>
        <w:contextualSpacing/>
        <w:rPr>
          <w:rFonts w:ascii="宋体" w:hAnsi="宋体"/>
          <w:sz w:val="24"/>
        </w:rPr>
      </w:pPr>
      <w:r>
        <w:rPr>
          <w:rFonts w:hint="eastAsia" w:ascii="宋体" w:hAnsi="宋体"/>
          <w:sz w:val="24"/>
        </w:rPr>
        <w:t>（1）全钢结构：12.7MM实芯理化板台面；柜体：采用1.0mm厚优质冷轧钢板，所有工件经模具冲压折弯焊接而成，焊接部分打磨、抛光处理平滑过渡，焊点无毛刺及假焊，构造表面经酸洗、磷化、环氧树脂粉末静电喷涂。</w:t>
      </w:r>
    </w:p>
    <w:p w14:paraId="7C601AC5">
      <w:pPr>
        <w:spacing w:line="360" w:lineRule="auto"/>
        <w:ind w:firstLine="480" w:firstLineChars="200"/>
        <w:contextualSpacing/>
        <w:rPr>
          <w:rFonts w:ascii="宋体" w:hAnsi="宋体"/>
          <w:sz w:val="24"/>
        </w:rPr>
      </w:pPr>
      <w:r>
        <w:rPr>
          <w:rFonts w:hint="eastAsia" w:ascii="宋体" w:hAnsi="宋体"/>
          <w:sz w:val="24"/>
        </w:rPr>
        <w:t>（2）拉手：采用铝合金</w:t>
      </w:r>
      <w:r>
        <w:rPr>
          <w:rFonts w:hint="eastAsia" w:ascii="微软雅黑" w:hAnsi="微软雅黑" w:eastAsia="微软雅黑" w:cs="微软雅黑"/>
          <w:sz w:val="24"/>
        </w:rPr>
        <w:t>⻓</w:t>
      </w:r>
      <w:r>
        <w:rPr>
          <w:rFonts w:hint="eastAsia" w:ascii="宋体" w:hAnsi="宋体" w:cs="宋体"/>
          <w:sz w:val="24"/>
        </w:rPr>
        <w:t>条拉手；</w:t>
      </w:r>
    </w:p>
    <w:p w14:paraId="45BDA81F">
      <w:pPr>
        <w:spacing w:line="360" w:lineRule="auto"/>
        <w:ind w:firstLine="480" w:firstLineChars="200"/>
        <w:contextualSpacing/>
        <w:rPr>
          <w:rFonts w:ascii="宋体" w:hAnsi="宋体"/>
          <w:sz w:val="24"/>
        </w:rPr>
      </w:pPr>
      <w:r>
        <w:rPr>
          <w:rFonts w:hint="eastAsia" w:ascii="宋体" w:hAnsi="宋体"/>
          <w:sz w:val="24"/>
        </w:rPr>
        <w:t>（3）滑轨：静音三节滑轨；</w:t>
      </w:r>
    </w:p>
    <w:p w14:paraId="62C8A099">
      <w:pPr>
        <w:spacing w:line="360" w:lineRule="auto"/>
        <w:ind w:firstLine="480" w:firstLineChars="200"/>
        <w:contextualSpacing/>
        <w:rPr>
          <w:rFonts w:ascii="宋体" w:hAnsi="宋体"/>
          <w:sz w:val="24"/>
        </w:rPr>
      </w:pPr>
      <w:r>
        <w:rPr>
          <w:rFonts w:hint="eastAsia" w:ascii="宋体" w:hAnsi="宋体"/>
          <w:sz w:val="24"/>
        </w:rPr>
        <w:t>（4）铰链：不锈钢自闭式合金铰链；</w:t>
      </w:r>
    </w:p>
    <w:p w14:paraId="5B3E72A3">
      <w:pPr>
        <w:spacing w:line="360" w:lineRule="auto"/>
        <w:ind w:firstLine="480" w:firstLineChars="200"/>
        <w:contextualSpacing/>
        <w:rPr>
          <w:rFonts w:ascii="宋体" w:hAnsi="宋体"/>
          <w:sz w:val="24"/>
        </w:rPr>
      </w:pPr>
      <w:r>
        <w:rPr>
          <w:rFonts w:hint="eastAsia" w:ascii="宋体" w:hAnsi="宋体"/>
          <w:sz w:val="24"/>
        </w:rPr>
        <w:t>（5）可调脚：专用地脚尼</w:t>
      </w:r>
      <w:r>
        <w:rPr>
          <w:rFonts w:hint="eastAsia" w:ascii="微软雅黑" w:hAnsi="微软雅黑" w:eastAsia="微软雅黑" w:cs="微软雅黑"/>
          <w:sz w:val="24"/>
        </w:rPr>
        <w:t>⻰</w:t>
      </w:r>
      <w:r>
        <w:rPr>
          <w:rFonts w:hint="eastAsia" w:ascii="宋体" w:hAnsi="宋体" w:cs="宋体"/>
          <w:sz w:val="24"/>
        </w:rPr>
        <w:t>铸不锈钢螺杆；</w:t>
      </w:r>
    </w:p>
    <w:p w14:paraId="201FCF60">
      <w:pPr>
        <w:spacing w:line="360" w:lineRule="auto"/>
        <w:ind w:firstLine="480" w:firstLineChars="200"/>
        <w:contextualSpacing/>
        <w:rPr>
          <w:rFonts w:ascii="宋体" w:hAnsi="宋体"/>
          <w:sz w:val="24"/>
        </w:rPr>
      </w:pPr>
      <w:r>
        <w:rPr>
          <w:rFonts w:hint="eastAsia" w:ascii="宋体" w:hAnsi="宋体"/>
          <w:sz w:val="24"/>
        </w:rPr>
        <w:t>（6）宽750mm，高850mm。</w:t>
      </w:r>
    </w:p>
    <w:p w14:paraId="0B352480">
      <w:pPr>
        <w:spacing w:line="360" w:lineRule="auto"/>
        <w:ind w:firstLine="482" w:firstLineChars="200"/>
        <w:contextualSpacing/>
        <w:rPr>
          <w:rFonts w:ascii="宋体" w:hAnsi="宋体"/>
          <w:b/>
          <w:bCs/>
          <w:sz w:val="24"/>
        </w:rPr>
      </w:pPr>
      <w:r>
        <w:rPr>
          <w:rFonts w:hint="eastAsia" w:ascii="宋体" w:hAnsi="宋体"/>
          <w:b/>
          <w:bCs/>
          <w:sz w:val="24"/>
        </w:rPr>
        <w:t>实验室角台1m，需求如下：</w:t>
      </w:r>
    </w:p>
    <w:p w14:paraId="6220FB99">
      <w:pPr>
        <w:spacing w:line="360" w:lineRule="auto"/>
        <w:ind w:firstLine="480" w:firstLineChars="200"/>
        <w:contextualSpacing/>
        <w:rPr>
          <w:rFonts w:ascii="宋体" w:hAnsi="宋体"/>
          <w:sz w:val="24"/>
        </w:rPr>
      </w:pPr>
      <w:r>
        <w:rPr>
          <w:rFonts w:hint="eastAsia" w:ascii="宋体" w:hAnsi="宋体"/>
          <w:sz w:val="24"/>
        </w:rPr>
        <w:t>（1）全钢结构：12.7MM实芯理化板台面；柜体：采用1.0mm厚优质冷轧钢板，所有工件经模具冲压折弯焊接而成，焊接部分打磨、抛光处理平滑过渡，焊点无毛刺及假焊，构造表面经酸洗、磷化、环氧树脂粉末静电喷涂。</w:t>
      </w:r>
    </w:p>
    <w:p w14:paraId="194D7E61">
      <w:pPr>
        <w:spacing w:line="360" w:lineRule="auto"/>
        <w:ind w:firstLine="480" w:firstLineChars="200"/>
        <w:contextualSpacing/>
        <w:rPr>
          <w:rFonts w:ascii="宋体" w:hAnsi="宋体"/>
          <w:sz w:val="24"/>
        </w:rPr>
      </w:pPr>
      <w:r>
        <w:rPr>
          <w:rFonts w:hint="eastAsia" w:ascii="宋体" w:hAnsi="宋体"/>
          <w:sz w:val="24"/>
        </w:rPr>
        <w:t>（2）拉手：采用铝合金</w:t>
      </w:r>
      <w:r>
        <w:rPr>
          <w:rFonts w:hint="eastAsia" w:ascii="微软雅黑" w:hAnsi="微软雅黑" w:eastAsia="微软雅黑" w:cs="微软雅黑"/>
          <w:sz w:val="24"/>
        </w:rPr>
        <w:t>⻓</w:t>
      </w:r>
      <w:r>
        <w:rPr>
          <w:rFonts w:hint="eastAsia" w:ascii="宋体" w:hAnsi="宋体" w:cs="宋体"/>
          <w:sz w:val="24"/>
        </w:rPr>
        <w:t>条拉手；</w:t>
      </w:r>
    </w:p>
    <w:p w14:paraId="74DD0828">
      <w:pPr>
        <w:spacing w:line="360" w:lineRule="auto"/>
        <w:ind w:firstLine="480" w:firstLineChars="200"/>
        <w:contextualSpacing/>
        <w:rPr>
          <w:rFonts w:ascii="宋体" w:hAnsi="宋体"/>
          <w:sz w:val="24"/>
        </w:rPr>
      </w:pPr>
      <w:r>
        <w:rPr>
          <w:rFonts w:hint="eastAsia" w:ascii="宋体" w:hAnsi="宋体"/>
          <w:sz w:val="24"/>
        </w:rPr>
        <w:t>（3）滑轨：静音三节滑轨；</w:t>
      </w:r>
    </w:p>
    <w:p w14:paraId="09A5D3D3">
      <w:pPr>
        <w:spacing w:line="360" w:lineRule="auto"/>
        <w:ind w:firstLine="480" w:firstLineChars="200"/>
        <w:contextualSpacing/>
        <w:rPr>
          <w:rFonts w:ascii="宋体" w:hAnsi="宋体"/>
          <w:sz w:val="24"/>
        </w:rPr>
      </w:pPr>
      <w:r>
        <w:rPr>
          <w:rFonts w:hint="eastAsia" w:ascii="宋体" w:hAnsi="宋体"/>
          <w:sz w:val="24"/>
        </w:rPr>
        <w:t>（4）铰链：不锈钢自闭式合金铰链；</w:t>
      </w:r>
    </w:p>
    <w:p w14:paraId="74D7FFCA">
      <w:pPr>
        <w:spacing w:line="360" w:lineRule="auto"/>
        <w:ind w:firstLine="480" w:firstLineChars="200"/>
        <w:contextualSpacing/>
        <w:rPr>
          <w:rFonts w:ascii="宋体" w:hAnsi="宋体"/>
          <w:sz w:val="24"/>
        </w:rPr>
      </w:pPr>
      <w:r>
        <w:rPr>
          <w:rFonts w:hint="eastAsia" w:ascii="宋体" w:hAnsi="宋体"/>
          <w:sz w:val="24"/>
        </w:rPr>
        <w:t>（5）可调脚：专用地脚尼</w:t>
      </w:r>
      <w:r>
        <w:rPr>
          <w:rFonts w:hint="eastAsia" w:ascii="微软雅黑" w:hAnsi="微软雅黑" w:eastAsia="微软雅黑" w:cs="微软雅黑"/>
          <w:sz w:val="24"/>
        </w:rPr>
        <w:t>⻰</w:t>
      </w:r>
      <w:r>
        <w:rPr>
          <w:rFonts w:hint="eastAsia" w:ascii="宋体" w:hAnsi="宋体" w:cs="宋体"/>
          <w:sz w:val="24"/>
        </w:rPr>
        <w:t>铸不锈钢螺杆</w:t>
      </w:r>
      <w:r>
        <w:rPr>
          <w:rFonts w:hint="eastAsia" w:ascii="宋体" w:hAnsi="宋体"/>
          <w:sz w:val="24"/>
        </w:rPr>
        <w:t>；</w:t>
      </w:r>
    </w:p>
    <w:p w14:paraId="7B49C595">
      <w:pPr>
        <w:spacing w:line="360" w:lineRule="auto"/>
        <w:ind w:firstLine="482" w:firstLineChars="200"/>
        <w:contextualSpacing/>
        <w:rPr>
          <w:rFonts w:ascii="宋体" w:hAnsi="宋体"/>
          <w:b/>
          <w:bCs/>
          <w:sz w:val="24"/>
        </w:rPr>
      </w:pPr>
      <w:r>
        <w:rPr>
          <w:rFonts w:hint="eastAsia" w:ascii="宋体" w:hAnsi="宋体"/>
          <w:b/>
          <w:bCs/>
          <w:sz w:val="24"/>
        </w:rPr>
        <w:t>角柜水池1套，需求如下：</w:t>
      </w:r>
    </w:p>
    <w:p w14:paraId="489D69CC">
      <w:pPr>
        <w:spacing w:line="360" w:lineRule="auto"/>
        <w:ind w:firstLine="480" w:firstLineChars="200"/>
        <w:contextualSpacing/>
        <w:rPr>
          <w:rFonts w:ascii="宋体" w:hAnsi="宋体"/>
          <w:sz w:val="24"/>
        </w:rPr>
      </w:pPr>
      <w:r>
        <w:rPr>
          <w:rFonts w:hint="eastAsia" w:ascii="宋体" w:hAnsi="宋体"/>
          <w:sz w:val="24"/>
        </w:rPr>
        <w:t>（1）实验室水池等。</w:t>
      </w:r>
    </w:p>
    <w:p w14:paraId="6054477A">
      <w:pPr>
        <w:spacing w:line="360" w:lineRule="auto"/>
        <w:ind w:firstLine="482" w:firstLineChars="200"/>
        <w:contextualSpacing/>
        <w:rPr>
          <w:rFonts w:ascii="宋体" w:hAnsi="宋体"/>
          <w:b/>
          <w:bCs/>
          <w:sz w:val="24"/>
        </w:rPr>
      </w:pPr>
      <w:r>
        <w:rPr>
          <w:rFonts w:hint="eastAsia" w:ascii="宋体" w:hAnsi="宋体"/>
          <w:b/>
          <w:bCs/>
          <w:sz w:val="24"/>
        </w:rPr>
        <w:t>桌上通风橱2套，需求如下：</w:t>
      </w:r>
    </w:p>
    <w:p w14:paraId="799F1E22">
      <w:pPr>
        <w:spacing w:line="360" w:lineRule="auto"/>
        <w:ind w:firstLine="480" w:firstLineChars="200"/>
        <w:contextualSpacing/>
        <w:rPr>
          <w:rFonts w:ascii="宋体" w:hAnsi="宋体"/>
          <w:sz w:val="24"/>
        </w:rPr>
      </w:pPr>
      <w:r>
        <w:rPr>
          <w:rFonts w:hint="eastAsia" w:ascii="宋体" w:hAnsi="宋体"/>
          <w:sz w:val="24"/>
        </w:rPr>
        <w:t>（1）全钢结构：</w:t>
      </w:r>
    </w:p>
    <w:p w14:paraId="21FDB4D3">
      <w:pPr>
        <w:spacing w:line="360" w:lineRule="auto"/>
        <w:ind w:firstLine="480" w:firstLineChars="200"/>
        <w:contextualSpacing/>
        <w:rPr>
          <w:rFonts w:ascii="宋体" w:hAnsi="宋体"/>
          <w:sz w:val="24"/>
        </w:rPr>
      </w:pPr>
      <w:r>
        <w:rPr>
          <w:rFonts w:hint="eastAsia" w:ascii="宋体" w:hAnsi="宋体"/>
          <w:sz w:val="24"/>
        </w:rPr>
        <w:t>（2）柜体：上柜外部采用1.0MM厚度冷轨钢板制作框架，内侧隔板采用5MM厚抗倍特化学积层板；</w:t>
      </w:r>
    </w:p>
    <w:p w14:paraId="2B3AC76A">
      <w:pPr>
        <w:spacing w:line="360" w:lineRule="auto"/>
        <w:ind w:firstLine="480" w:firstLineChars="200"/>
        <w:contextualSpacing/>
        <w:rPr>
          <w:rFonts w:ascii="宋体" w:hAnsi="宋体"/>
          <w:sz w:val="24"/>
        </w:rPr>
      </w:pPr>
      <w:r>
        <w:rPr>
          <w:rFonts w:hint="eastAsia" w:ascii="宋体" w:hAnsi="宋体"/>
          <w:sz w:val="24"/>
        </w:rPr>
        <w:t>（3）控制面板：触摸式、智能化控制面板；照明：采用全罩式灯座设计（配散热孔），内置照明灯，光度≥300LUX；</w:t>
      </w:r>
    </w:p>
    <w:p w14:paraId="36977BFF">
      <w:pPr>
        <w:spacing w:line="360" w:lineRule="auto"/>
        <w:ind w:firstLine="480" w:firstLineChars="200"/>
        <w:contextualSpacing/>
        <w:rPr>
          <w:rFonts w:ascii="宋体" w:hAnsi="宋体"/>
          <w:sz w:val="24"/>
        </w:rPr>
      </w:pPr>
      <w:r>
        <w:rPr>
          <w:rFonts w:hint="eastAsia" w:ascii="宋体" w:hAnsi="宋体"/>
          <w:sz w:val="24"/>
        </w:rPr>
        <w:t>（4）插座：采用220V/10A带盖欧式万能插；</w:t>
      </w:r>
    </w:p>
    <w:p w14:paraId="4CBEA159">
      <w:pPr>
        <w:spacing w:line="360" w:lineRule="auto"/>
        <w:ind w:firstLine="480" w:firstLineChars="200"/>
        <w:contextualSpacing/>
        <w:rPr>
          <w:rFonts w:ascii="宋体" w:hAnsi="宋体"/>
          <w:sz w:val="24"/>
        </w:rPr>
      </w:pPr>
      <w:r>
        <w:rPr>
          <w:rFonts w:hint="eastAsia" w:ascii="宋体" w:hAnsi="宋体"/>
          <w:sz w:val="24"/>
        </w:rPr>
        <w:t>（5）视窗：同步滑轮，采用5mm钢化玻璃；玻璃滑槽：</w:t>
      </w:r>
    </w:p>
    <w:p w14:paraId="4CA2490D">
      <w:pPr>
        <w:spacing w:line="360" w:lineRule="auto"/>
        <w:ind w:firstLine="480" w:firstLineChars="200"/>
        <w:contextualSpacing/>
        <w:rPr>
          <w:rFonts w:ascii="宋体" w:hAnsi="宋体"/>
          <w:sz w:val="24"/>
        </w:rPr>
      </w:pPr>
      <w:r>
        <w:rPr>
          <w:rFonts w:hint="eastAsia" w:ascii="宋体" w:hAnsi="宋体"/>
          <w:sz w:val="24"/>
        </w:rPr>
        <w:t>（6）一次成型的铝合金槽，三边镶有耐磨毛条，上下推</w:t>
      </w:r>
    </w:p>
    <w:p w14:paraId="7FE568F6">
      <w:pPr>
        <w:spacing w:line="360" w:lineRule="auto"/>
        <w:ind w:firstLine="480" w:firstLineChars="200"/>
        <w:contextualSpacing/>
        <w:rPr>
          <w:rFonts w:ascii="宋体" w:hAnsi="宋体"/>
          <w:sz w:val="24"/>
        </w:rPr>
      </w:pPr>
      <w:r>
        <w:rPr>
          <w:rFonts w:hint="eastAsia" w:ascii="宋体" w:hAnsi="宋体"/>
          <w:sz w:val="24"/>
        </w:rPr>
        <w:t>（7）动玻璃轻滑且无噪音；</w:t>
      </w:r>
    </w:p>
    <w:p w14:paraId="7AD23823">
      <w:pPr>
        <w:spacing w:line="360" w:lineRule="auto"/>
        <w:ind w:firstLine="480" w:firstLineChars="200"/>
        <w:contextualSpacing/>
        <w:rPr>
          <w:rFonts w:ascii="宋体" w:hAnsi="宋体"/>
          <w:sz w:val="24"/>
        </w:rPr>
      </w:pPr>
      <w:r>
        <w:rPr>
          <w:rFonts w:hint="eastAsia" w:ascii="宋体" w:hAnsi="宋体"/>
          <w:sz w:val="24"/>
        </w:rPr>
        <w:t>（8）宽800mm，高850mm。</w:t>
      </w:r>
    </w:p>
    <w:p w14:paraId="2A95CF83">
      <w:pPr>
        <w:ind w:firstLine="422" w:firstLineChars="200"/>
        <w:rPr>
          <w:rFonts w:ascii="宋体" w:hAnsi="宋体"/>
          <w:b/>
          <w:bCs/>
          <w:color w:val="FF0000"/>
          <w:szCs w:val="21"/>
        </w:rPr>
      </w:pPr>
      <w:r>
        <w:rPr>
          <w:rFonts w:hint="eastAsia" w:ascii="宋体" w:hAnsi="宋体"/>
          <w:b/>
          <w:bCs/>
          <w:color w:val="FF0000"/>
          <w:szCs w:val="21"/>
        </w:rPr>
        <w:t>以上装修改造须符合相关部门环保要求。</w:t>
      </w:r>
    </w:p>
    <w:p w14:paraId="4EF40748">
      <w:pPr>
        <w:rPr>
          <w:rFonts w:ascii="宋体" w:hAnsi="宋体"/>
          <w:b/>
          <w:bCs/>
          <w:szCs w:val="21"/>
        </w:rPr>
      </w:pPr>
    </w:p>
    <w:p w14:paraId="24A9F772">
      <w:pPr>
        <w:rPr>
          <w:rFonts w:ascii="宋体" w:hAnsi="宋体"/>
          <w:b/>
          <w:bCs/>
          <w:szCs w:val="21"/>
        </w:rPr>
      </w:pPr>
    </w:p>
    <w:p w14:paraId="2909A7CE">
      <w:pPr>
        <w:rPr>
          <w:rFonts w:ascii="宋体" w:hAnsi="宋体"/>
          <w:b/>
          <w:bCs/>
          <w:szCs w:val="21"/>
        </w:rPr>
      </w:pPr>
    </w:p>
    <w:p w14:paraId="0005C217">
      <w:pPr>
        <w:rPr>
          <w:rFonts w:ascii="宋体" w:hAnsi="宋体"/>
          <w:b/>
          <w:bCs/>
          <w:szCs w:val="21"/>
        </w:rPr>
      </w:pPr>
    </w:p>
    <w:p w14:paraId="7C3736A0">
      <w:pPr>
        <w:rPr>
          <w:rFonts w:ascii="宋体" w:hAnsi="宋体"/>
          <w:b/>
          <w:bCs/>
          <w:szCs w:val="21"/>
        </w:rPr>
      </w:pPr>
      <w:r>
        <w:rPr>
          <w:rFonts w:hint="eastAsia" w:ascii="宋体" w:hAnsi="宋体"/>
          <w:b/>
          <w:bCs/>
          <w:szCs w:val="21"/>
        </w:rPr>
        <w:t>参考图纸</w:t>
      </w:r>
    </w:p>
    <w:p w14:paraId="4D87339A">
      <w:pPr>
        <w:tabs>
          <w:tab w:val="left" w:pos="2668"/>
        </w:tabs>
        <w:spacing w:line="360" w:lineRule="auto"/>
        <w:contextualSpacing/>
        <w:jc w:val="left"/>
        <w:rPr>
          <w:rFonts w:ascii="宋体" w:hAnsi="宋体"/>
          <w:szCs w:val="21"/>
        </w:rPr>
      </w:pPr>
      <w:r>
        <w:rPr>
          <w:rFonts w:ascii="Calibri" w:hAnsi="Calibri"/>
        </w:rPr>
        <w:drawing>
          <wp:inline distT="0" distB="0" distL="114300" distR="114300">
            <wp:extent cx="5269865" cy="4999355"/>
            <wp:effectExtent l="0" t="0" r="3175"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69865" cy="4999355"/>
                    </a:xfrm>
                    <a:prstGeom prst="rect">
                      <a:avLst/>
                    </a:prstGeom>
                    <a:noFill/>
                    <a:ln>
                      <a:noFill/>
                    </a:ln>
                  </pic:spPr>
                </pic:pic>
              </a:graphicData>
            </a:graphic>
          </wp:inline>
        </w:drawing>
      </w:r>
    </w:p>
    <w:p w14:paraId="682A5D8D">
      <w:pPr>
        <w:tabs>
          <w:tab w:val="left" w:pos="2668"/>
        </w:tabs>
        <w:spacing w:line="360" w:lineRule="auto"/>
        <w:contextualSpacing/>
        <w:jc w:val="center"/>
        <w:rPr>
          <w:rFonts w:ascii="宋体" w:hAnsi="宋体"/>
          <w:b/>
          <w:bCs/>
          <w:szCs w:val="21"/>
        </w:rPr>
      </w:pPr>
      <w:r>
        <w:rPr>
          <w:rFonts w:hint="eastAsia" w:ascii="宋体" w:hAnsi="宋体"/>
          <w:b/>
          <w:bCs/>
          <w:szCs w:val="21"/>
        </w:rPr>
        <w:t>1</w:t>
      </w:r>
      <w:r>
        <w:rPr>
          <w:rFonts w:ascii="宋体" w:hAnsi="宋体"/>
          <w:b/>
          <w:bCs/>
          <w:szCs w:val="21"/>
        </w:rPr>
        <w:t>11</w:t>
      </w:r>
      <w:r>
        <w:rPr>
          <w:rFonts w:hint="eastAsia" w:ascii="宋体" w:hAnsi="宋体"/>
          <w:b/>
          <w:bCs/>
          <w:szCs w:val="21"/>
        </w:rPr>
        <w:t>纳米制备实验室</w:t>
      </w:r>
    </w:p>
    <w:p w14:paraId="20067CB7">
      <w:pPr>
        <w:tabs>
          <w:tab w:val="left" w:pos="2668"/>
        </w:tabs>
        <w:spacing w:line="360" w:lineRule="auto"/>
        <w:contextualSpacing/>
        <w:jc w:val="center"/>
        <w:rPr>
          <w:rFonts w:ascii="宋体" w:hAnsi="宋体"/>
          <w:b/>
          <w:bCs/>
          <w:szCs w:val="21"/>
        </w:rPr>
      </w:pPr>
    </w:p>
    <w:p w14:paraId="09BD2F54">
      <w:pPr>
        <w:widowControl/>
        <w:jc w:val="left"/>
        <w:rPr>
          <w:rFonts w:ascii="宋体" w:hAnsi="宋体"/>
          <w:b/>
          <w:bCs/>
          <w:szCs w:val="21"/>
        </w:rPr>
      </w:pPr>
      <w:r>
        <w:rPr>
          <w:rFonts w:ascii="宋体" w:hAnsi="宋体"/>
          <w:b/>
          <w:bCs/>
          <w:szCs w:val="21"/>
        </w:rPr>
        <w:br w:type="page"/>
      </w:r>
    </w:p>
    <w:p w14:paraId="5E3AB1B1">
      <w:pPr>
        <w:tabs>
          <w:tab w:val="left" w:pos="2668"/>
        </w:tabs>
        <w:spacing w:line="360" w:lineRule="auto"/>
        <w:contextualSpacing/>
        <w:jc w:val="center"/>
        <w:rPr>
          <w:rFonts w:ascii="宋体" w:hAnsi="宋体"/>
          <w:b/>
          <w:bCs/>
          <w:szCs w:val="21"/>
        </w:rPr>
      </w:pPr>
      <w:r>
        <w:rPr>
          <w:rFonts w:ascii="Calibri" w:hAnsi="Calibri"/>
        </w:rPr>
        <w:drawing>
          <wp:inline distT="0" distB="0" distL="114300" distR="114300">
            <wp:extent cx="5270500" cy="5031740"/>
            <wp:effectExtent l="0" t="0" r="0"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70500" cy="5031740"/>
                    </a:xfrm>
                    <a:prstGeom prst="rect">
                      <a:avLst/>
                    </a:prstGeom>
                    <a:noFill/>
                    <a:ln>
                      <a:noFill/>
                    </a:ln>
                  </pic:spPr>
                </pic:pic>
              </a:graphicData>
            </a:graphic>
          </wp:inline>
        </w:drawing>
      </w:r>
    </w:p>
    <w:p w14:paraId="7BB4D6DF">
      <w:pPr>
        <w:tabs>
          <w:tab w:val="left" w:pos="2668"/>
        </w:tabs>
        <w:spacing w:line="360" w:lineRule="auto"/>
        <w:contextualSpacing/>
        <w:jc w:val="center"/>
        <w:rPr>
          <w:b/>
          <w:bCs/>
          <w:szCs w:val="21"/>
        </w:rPr>
      </w:pPr>
      <w:r>
        <w:rPr>
          <w:b/>
          <w:bCs/>
          <w:szCs w:val="21"/>
        </w:rPr>
        <w:t>113光电传感实验室</w:t>
      </w:r>
    </w:p>
    <w:p w14:paraId="461051B7">
      <w:pPr>
        <w:spacing w:line="360" w:lineRule="auto"/>
        <w:contextualSpacing/>
        <w:rPr>
          <w:rFonts w:ascii="宋体" w:hAnsi="宋体"/>
          <w:szCs w:val="21"/>
        </w:rPr>
      </w:pPr>
    </w:p>
    <w:p w14:paraId="70037EBE">
      <w:pPr>
        <w:ind w:firstLine="482" w:firstLineChars="200"/>
        <w:rPr>
          <w:b/>
          <w:bCs/>
          <w:sz w:val="24"/>
        </w:rPr>
      </w:pPr>
      <w:r>
        <w:rPr>
          <w:rFonts w:hint="eastAsia"/>
          <w:b/>
          <w:bCs/>
          <w:sz w:val="24"/>
        </w:rPr>
        <w:t>二、安装、调试、验收等要求</w:t>
      </w:r>
    </w:p>
    <w:p w14:paraId="29AC3E70">
      <w:pPr>
        <w:pStyle w:val="64"/>
        <w:spacing w:after="150"/>
        <w:ind w:firstLine="422"/>
        <w:rPr>
          <w:rFonts w:hint="default" w:ascii="宋体" w:hAnsi="宋体" w:eastAsia="宋体" w:cs="华文楷体"/>
          <w:b/>
          <w:color w:val="000000" w:themeColor="text1"/>
          <w:kern w:val="2"/>
          <w:sz w:val="24"/>
          <w:szCs w:val="22"/>
        </w:rPr>
      </w:pPr>
      <w:r>
        <w:rPr>
          <w:rFonts w:ascii="宋体" w:hAnsi="宋体" w:eastAsia="宋体" w:cs="华文楷体"/>
          <w:b/>
          <w:color w:val="000000" w:themeColor="text1"/>
          <w:kern w:val="2"/>
          <w:sz w:val="24"/>
          <w:szCs w:val="22"/>
        </w:rPr>
        <w:t>（一）安装、调试</w:t>
      </w:r>
    </w:p>
    <w:p w14:paraId="5CAF8A95">
      <w:pPr>
        <w:pStyle w:val="64"/>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（1）由成交供应商将</w:t>
      </w:r>
      <w:r>
        <w:rPr>
          <w:rFonts w:ascii="宋体" w:hAnsi="宋体" w:eastAsia="宋体" w:cs="宋体"/>
          <w:sz w:val="24"/>
        </w:rPr>
        <w:t>采购标的送到合同约定的</w:t>
      </w:r>
      <w:r>
        <w:rPr>
          <w:rFonts w:ascii="宋体" w:hAnsi="宋体" w:eastAsia="宋体" w:cs="华文楷体"/>
          <w:color w:val="000000" w:themeColor="text1"/>
          <w:kern w:val="2"/>
          <w:sz w:val="24"/>
          <w:szCs w:val="22"/>
        </w:rPr>
        <w:t>交货地点。成交供应商应在接到采购人通知后，组织专业技术人员于约定时间内抵达交货地点并进行安装、调试，直至验收合格交付采购人使用。根据采购人实际需求，对合同标的进行充分说明并进行现场演示，必要时提供不少于2场的技术培训（指在合同标的的安装、试运行、验收、操作、维修以及其他方面卖方给予买方的培训）。</w:t>
      </w:r>
    </w:p>
    <w:p w14:paraId="32A70B1D">
      <w:pPr>
        <w:pStyle w:val="64"/>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（2）采购人应提供必要的现场条件和人员配合成交供应商顺利完成安装调试工作。</w:t>
      </w:r>
    </w:p>
    <w:p w14:paraId="38021AB3">
      <w:pPr>
        <w:pStyle w:val="64"/>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（3）成交供应商须在合同签订的同时与采购人约定安装调试工作的进度计划表作为合同附件。</w:t>
      </w:r>
    </w:p>
    <w:p w14:paraId="51FE2038">
      <w:pPr>
        <w:pStyle w:val="64"/>
        <w:spacing w:after="150"/>
        <w:ind w:firstLine="422"/>
        <w:rPr>
          <w:rFonts w:hint="default" w:ascii="宋体" w:hAnsi="宋体" w:eastAsia="宋体" w:cs="华文楷体"/>
          <w:b/>
          <w:color w:val="000000" w:themeColor="text1"/>
          <w:kern w:val="2"/>
          <w:sz w:val="24"/>
          <w:szCs w:val="22"/>
        </w:rPr>
      </w:pPr>
      <w:r>
        <w:rPr>
          <w:rFonts w:ascii="宋体" w:hAnsi="宋体" w:eastAsia="宋体" w:cs="华文楷体"/>
          <w:b/>
          <w:color w:val="000000" w:themeColor="text1"/>
          <w:kern w:val="2"/>
          <w:sz w:val="24"/>
          <w:szCs w:val="22"/>
        </w:rPr>
        <w:t>（二）验收</w:t>
      </w:r>
    </w:p>
    <w:p w14:paraId="7EFA5BCE">
      <w:pPr>
        <w:pStyle w:val="64"/>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（1）验收标准</w:t>
      </w:r>
    </w:p>
    <w:p w14:paraId="6D851A46">
      <w:pPr>
        <w:pStyle w:val="64"/>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标的物符合我国最新颁布的与之相关的质量技术规范与标准，并同时满足磋商文件要求、供应商所作承诺和采购人等部门的考核要求。标的物验收包括但不限于检查项目资料的完整性、成交供应商对本项目中提出的采购需求的实现情况及其一致性等。在成交供应商完成全部采购内容并交付验收时，采购人应当自标的物交付验收之日起七个工作日内组织验收，并在验收通过后出具一份验收合格报告以作为采购人的验收依据。成交供应商须在其响应文件中提供一份验收办法，但此标准不得对抗相关部门的验收和磋商文件中的验收要求。成交供应商对货物或服务的缺陷不予更正，采购人有权另请其他单位更正，所发生的费用由成交供应商承担。</w:t>
      </w:r>
    </w:p>
    <w:p w14:paraId="55EBCAAE">
      <w:pPr>
        <w:pStyle w:val="64"/>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（2）验收程序和方法</w:t>
      </w:r>
    </w:p>
    <w:p w14:paraId="7D337CF2">
      <w:pPr>
        <w:pStyle w:val="64"/>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①出厂检验</w:t>
      </w:r>
    </w:p>
    <w:p w14:paraId="10A4A119">
      <w:pPr>
        <w:pStyle w:val="64"/>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成交供应商在出厂前，应按设备技术标准规定的检验项目和检验方法进行全方位检验，须在供货时出具供货证明、产地证书、出厂检验报告和设备质量合格证等。检验结果必须达到行业内验收标准。</w:t>
      </w:r>
    </w:p>
    <w:p w14:paraId="438F41E9">
      <w:pPr>
        <w:pStyle w:val="64"/>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③验收与最终验收</w:t>
      </w:r>
    </w:p>
    <w:p w14:paraId="11AFD9F6">
      <w:pPr>
        <w:pStyle w:val="64"/>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供货自检后，成交供应商与采购人将按采购需求及合同条款对合同标的进行最终验收。成交供应商须遣有相关工作经验的技术人员对合同标的进行调试，按验收指标逐项测试，直至全部达到采购人要求。</w:t>
      </w:r>
    </w:p>
    <w:p w14:paraId="2ACA161A">
      <w:pPr>
        <w:pStyle w:val="64"/>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④验收所发生的一切费用均由成交供应商承担。</w:t>
      </w:r>
    </w:p>
    <w:p w14:paraId="046AD04B">
      <w:pPr>
        <w:pStyle w:val="64"/>
        <w:spacing w:after="150"/>
        <w:ind w:firstLine="422"/>
        <w:rPr>
          <w:rFonts w:hint="default" w:ascii="宋体" w:hAnsi="宋体" w:eastAsia="宋体" w:cs="华文楷体"/>
          <w:b/>
          <w:color w:val="000000" w:themeColor="text1"/>
          <w:kern w:val="2"/>
          <w:sz w:val="24"/>
          <w:szCs w:val="22"/>
        </w:rPr>
      </w:pPr>
      <w:r>
        <w:rPr>
          <w:rFonts w:ascii="宋体" w:hAnsi="宋体" w:eastAsia="宋体" w:cs="华文楷体"/>
          <w:b/>
          <w:color w:val="000000" w:themeColor="text1"/>
          <w:kern w:val="2"/>
          <w:sz w:val="24"/>
          <w:szCs w:val="22"/>
        </w:rPr>
        <w:t>（三）技术资料要求</w:t>
      </w:r>
    </w:p>
    <w:p w14:paraId="135306C8">
      <w:pPr>
        <w:pStyle w:val="64"/>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成交供应商在供货时须向采购人提供下列文件，其中各项指标和参数均须符合行业内标准。采购人有权委托中华人民共和国境内相关有资质单位或机构对合同标的的性能、精度等进行校核。</w:t>
      </w:r>
    </w:p>
    <w:p w14:paraId="330B5452">
      <w:pPr>
        <w:pStyle w:val="64"/>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1、出厂明细表(装箱单)；</w:t>
      </w:r>
    </w:p>
    <w:p w14:paraId="49435530">
      <w:pPr>
        <w:pStyle w:val="64"/>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2、出厂检验报告和合格证书；</w:t>
      </w:r>
    </w:p>
    <w:p w14:paraId="697FA6DC">
      <w:pPr>
        <w:pStyle w:val="64"/>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3、使用说明书；</w:t>
      </w:r>
    </w:p>
    <w:p w14:paraId="7B39B064">
      <w:pPr>
        <w:pStyle w:val="64"/>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4、安装手册、操作手册、维修手册</w:t>
      </w:r>
    </w:p>
    <w:p w14:paraId="39361629">
      <w:pPr>
        <w:pStyle w:val="64"/>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5、设备安装、调试维修线路原理图；</w:t>
      </w:r>
    </w:p>
    <w:p w14:paraId="61532717">
      <w:pPr>
        <w:pStyle w:val="64"/>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6、零部件目录（包括品牌、型号、生产厂家等信息）；</w:t>
      </w:r>
    </w:p>
    <w:p w14:paraId="2C4233BE">
      <w:pPr>
        <w:pStyle w:val="64"/>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7、相关文件、支持程序软盘或光盘；</w:t>
      </w:r>
    </w:p>
    <w:p w14:paraId="7B0132D7">
      <w:pPr>
        <w:pStyle w:val="64"/>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8、合同中要求的其它文件资料。</w:t>
      </w:r>
    </w:p>
    <w:p w14:paraId="54F73BA9">
      <w:pPr>
        <w:pStyle w:val="64"/>
        <w:spacing w:after="150"/>
        <w:ind w:firstLine="422"/>
        <w:rPr>
          <w:rFonts w:hint="default" w:ascii="宋体" w:hAnsi="宋体" w:eastAsia="宋体" w:cs="华文楷体"/>
          <w:b/>
          <w:color w:val="000000" w:themeColor="text1"/>
          <w:kern w:val="2"/>
          <w:sz w:val="24"/>
          <w:szCs w:val="22"/>
        </w:rPr>
      </w:pPr>
      <w:r>
        <w:rPr>
          <w:rFonts w:ascii="宋体" w:hAnsi="宋体" w:eastAsia="宋体" w:cs="华文楷体"/>
          <w:b/>
          <w:color w:val="000000" w:themeColor="text1"/>
          <w:kern w:val="2"/>
          <w:sz w:val="24"/>
          <w:szCs w:val="22"/>
        </w:rPr>
        <w:t>（四）质量保证期及售后服务</w:t>
      </w:r>
    </w:p>
    <w:p w14:paraId="7228C31E">
      <w:pPr>
        <w:pStyle w:val="64"/>
        <w:spacing w:after="150"/>
        <w:ind w:firstLine="422"/>
        <w:rPr>
          <w:rFonts w:hint="default" w:ascii="宋体" w:hAnsi="宋体" w:eastAsia="宋体" w:cs="华文楷体"/>
          <w:b/>
          <w:color w:val="000000" w:themeColor="text1"/>
          <w:kern w:val="2"/>
          <w:sz w:val="24"/>
          <w:szCs w:val="22"/>
        </w:rPr>
      </w:pPr>
      <w:r>
        <w:rPr>
          <w:rFonts w:ascii="宋体" w:hAnsi="宋体" w:eastAsia="宋体" w:cs="华文楷体"/>
          <w:b/>
          <w:color w:val="000000" w:themeColor="text1"/>
          <w:kern w:val="2"/>
          <w:sz w:val="24"/>
          <w:szCs w:val="22"/>
        </w:rPr>
        <w:t>1、质保期：本项目要求整体质保期不少于3年，自验收合格（验收合格并不免除在质保期内成交供应商应负的责任）之日起计算。具体由供应商自报。</w:t>
      </w:r>
    </w:p>
    <w:p w14:paraId="1683BA3C">
      <w:pPr>
        <w:pStyle w:val="64"/>
        <w:spacing w:after="150"/>
        <w:ind w:firstLine="422"/>
        <w:rPr>
          <w:rFonts w:hint="default" w:ascii="宋体" w:hAnsi="宋体" w:eastAsia="宋体" w:cs="华文楷体"/>
          <w:b/>
          <w:color w:val="000000" w:themeColor="text1"/>
          <w:kern w:val="2"/>
          <w:sz w:val="24"/>
          <w:szCs w:val="22"/>
        </w:rPr>
      </w:pPr>
      <w:r>
        <w:rPr>
          <w:rFonts w:ascii="宋体" w:hAnsi="宋体" w:eastAsia="宋体" w:cs="华文楷体"/>
          <w:bCs/>
          <w:color w:val="000000" w:themeColor="text1"/>
          <w:kern w:val="2"/>
          <w:sz w:val="24"/>
          <w:szCs w:val="22"/>
        </w:rPr>
        <w:t>2、供应商须响应本次采购活动中所有的售后服务要求并在响应文件中提供详细具体的售后服务条件及保证。也可视供应商自身情况在响应文件中提供更优、更合理的售后服务承诺。质保范围包括整机及其所有附件。保证产品为全新原厂设备，质保期内，提供免费的维修、更换损坏零部件及技术咨询服务；在质保期结束后，供应商负责提供长期优惠的有偿服务（须在磋商报价表中明确告知有偿设备和服务的价格）和技术支持。提供售后服务承诺书。对由于设计、工艺或材料的缺陷等原因而发生的任何不足或故障由设备厂家负责。</w:t>
      </w:r>
    </w:p>
    <w:p w14:paraId="153C5613">
      <w:pPr>
        <w:pStyle w:val="64"/>
        <w:tabs>
          <w:tab w:val="left" w:pos="3273"/>
        </w:tabs>
        <w:spacing w:after="150"/>
        <w:rPr>
          <w:rFonts w:hint="default" w:ascii="宋体" w:hAnsi="宋体" w:eastAsia="宋体" w:cs="华文楷体"/>
          <w:b/>
          <w:color w:val="000000" w:themeColor="text1"/>
          <w:kern w:val="2"/>
          <w:sz w:val="24"/>
          <w:szCs w:val="22"/>
        </w:rPr>
      </w:pPr>
      <w:r>
        <w:rPr>
          <w:rFonts w:ascii="宋体" w:hAnsi="宋体" w:eastAsia="宋体" w:cs="华文楷体"/>
          <w:b/>
          <w:color w:val="000000" w:themeColor="text1"/>
          <w:kern w:val="2"/>
          <w:sz w:val="24"/>
          <w:szCs w:val="22"/>
        </w:rPr>
        <w:t>（五）项目实施要求</w:t>
      </w:r>
      <w:r>
        <w:rPr>
          <w:rFonts w:ascii="宋体" w:hAnsi="宋体" w:eastAsia="宋体" w:cs="华文楷体"/>
          <w:b/>
          <w:color w:val="000000" w:themeColor="text1"/>
          <w:kern w:val="2"/>
          <w:sz w:val="24"/>
          <w:szCs w:val="22"/>
        </w:rPr>
        <w:tab/>
      </w:r>
    </w:p>
    <w:p w14:paraId="4F704F40">
      <w:pPr>
        <w:pStyle w:val="64"/>
        <w:tabs>
          <w:tab w:val="left" w:pos="3273"/>
        </w:tabs>
        <w:spacing w:after="150"/>
        <w:ind w:firstLine="422"/>
        <w:rPr>
          <w:rFonts w:hint="default" w:ascii="宋体" w:hAnsi="宋体" w:eastAsia="宋体" w:cs="华文楷体"/>
          <w:bCs/>
          <w:color w:val="000000" w:themeColor="text1"/>
          <w:kern w:val="2"/>
          <w:sz w:val="24"/>
          <w:szCs w:val="22"/>
        </w:rPr>
      </w:pPr>
      <w:r>
        <w:rPr>
          <w:rFonts w:ascii="宋体" w:hAnsi="宋体" w:eastAsia="宋体" w:cs="华文楷体"/>
          <w:bCs/>
          <w:color w:val="000000" w:themeColor="text1"/>
          <w:kern w:val="2"/>
          <w:sz w:val="24"/>
          <w:szCs w:val="22"/>
        </w:rPr>
        <w:t>1、供应商</w:t>
      </w:r>
      <w:r>
        <w:rPr>
          <w:rFonts w:hint="default" w:ascii="宋体" w:hAnsi="宋体" w:eastAsia="宋体" w:cs="华文楷体"/>
          <w:bCs/>
          <w:color w:val="000000" w:themeColor="text1"/>
          <w:kern w:val="2"/>
          <w:sz w:val="24"/>
          <w:szCs w:val="22"/>
        </w:rPr>
        <w:t>应保证所提供货物涉及到的知识产权和所提供的软件、技术资料是合法取得，并享有完整的知识产权，不会因为采购人的使用而被责令停止使用、追偿或要求赔偿损失，如出现此情况，一切经济和法律责任均由</w:t>
      </w:r>
      <w:r>
        <w:rPr>
          <w:rFonts w:ascii="宋体" w:hAnsi="宋体" w:eastAsia="宋体" w:cs="华文楷体"/>
          <w:bCs/>
          <w:color w:val="000000" w:themeColor="text1"/>
          <w:kern w:val="2"/>
          <w:sz w:val="24"/>
          <w:szCs w:val="22"/>
        </w:rPr>
        <w:t>供应商</w:t>
      </w:r>
      <w:r>
        <w:rPr>
          <w:rFonts w:hint="default" w:ascii="宋体" w:hAnsi="宋体" w:eastAsia="宋体" w:cs="华文楷体"/>
          <w:bCs/>
          <w:color w:val="000000" w:themeColor="text1"/>
          <w:kern w:val="2"/>
          <w:sz w:val="24"/>
          <w:szCs w:val="22"/>
        </w:rPr>
        <w:t>承担。</w:t>
      </w:r>
    </w:p>
    <w:p w14:paraId="168D8D40">
      <w:pPr>
        <w:pStyle w:val="64"/>
        <w:tabs>
          <w:tab w:val="left" w:pos="3273"/>
        </w:tabs>
        <w:spacing w:after="150"/>
        <w:ind w:firstLine="422"/>
        <w:rPr>
          <w:rFonts w:hint="default" w:ascii="宋体" w:hAnsi="宋体" w:eastAsia="宋体" w:cs="华文楷体"/>
          <w:bCs/>
          <w:color w:val="000000" w:themeColor="text1"/>
          <w:kern w:val="2"/>
          <w:sz w:val="24"/>
          <w:szCs w:val="22"/>
        </w:rPr>
      </w:pPr>
      <w:r>
        <w:rPr>
          <w:rFonts w:ascii="宋体" w:hAnsi="宋体" w:eastAsia="宋体" w:cs="华文楷体"/>
          <w:bCs/>
          <w:color w:val="000000" w:themeColor="text1"/>
          <w:kern w:val="2"/>
          <w:sz w:val="24"/>
          <w:szCs w:val="22"/>
        </w:rPr>
        <w:t>2,、供应商</w:t>
      </w:r>
      <w:r>
        <w:rPr>
          <w:rFonts w:hint="default" w:ascii="宋体" w:hAnsi="宋体" w:eastAsia="宋体" w:cs="华文楷体"/>
          <w:bCs/>
          <w:color w:val="000000" w:themeColor="text1"/>
          <w:kern w:val="2"/>
          <w:sz w:val="24"/>
          <w:szCs w:val="22"/>
        </w:rPr>
        <w:t>应列出详细项目实施方案，包括人员姓名、工作经验、学历和在本项目中的职责分工以及项目管理方法论，项目实施管理策略、项目进度控制、项目应急措施等。</w:t>
      </w:r>
      <w:r>
        <w:rPr>
          <w:rFonts w:ascii="宋体" w:hAnsi="宋体" w:eastAsia="宋体" w:cs="华文楷体"/>
          <w:bCs/>
          <w:color w:val="000000" w:themeColor="text1"/>
          <w:kern w:val="2"/>
          <w:sz w:val="24"/>
          <w:szCs w:val="22"/>
        </w:rPr>
        <w:t>供应商</w:t>
      </w:r>
      <w:r>
        <w:rPr>
          <w:rFonts w:hint="default" w:ascii="宋体" w:hAnsi="宋体" w:eastAsia="宋体" w:cs="华文楷体"/>
          <w:bCs/>
          <w:color w:val="000000" w:themeColor="text1"/>
          <w:kern w:val="2"/>
          <w:sz w:val="24"/>
          <w:szCs w:val="22"/>
        </w:rPr>
        <w:t>在</w:t>
      </w:r>
      <w:r>
        <w:rPr>
          <w:rFonts w:ascii="宋体" w:hAnsi="宋体" w:eastAsia="宋体" w:cs="华文楷体"/>
          <w:bCs/>
          <w:color w:val="000000" w:themeColor="text1"/>
          <w:kern w:val="2"/>
          <w:sz w:val="24"/>
          <w:szCs w:val="22"/>
        </w:rPr>
        <w:t>成交</w:t>
      </w:r>
      <w:r>
        <w:rPr>
          <w:rFonts w:hint="default" w:ascii="宋体" w:hAnsi="宋体" w:eastAsia="宋体" w:cs="华文楷体"/>
          <w:bCs/>
          <w:color w:val="000000" w:themeColor="text1"/>
          <w:kern w:val="2"/>
          <w:sz w:val="24"/>
          <w:szCs w:val="22"/>
        </w:rPr>
        <w:t>后，应允许采购人的工作人员及运维人员自实施工作开始即参与本项目的需求分析、详细设计、测试、安装调试等工作并在实施方案中提出协同工作计划。</w:t>
      </w:r>
    </w:p>
    <w:p w14:paraId="50468B25">
      <w:pPr>
        <w:pStyle w:val="64"/>
        <w:tabs>
          <w:tab w:val="left" w:pos="3273"/>
        </w:tabs>
        <w:spacing w:after="150"/>
        <w:ind w:firstLine="422"/>
        <w:rPr>
          <w:rFonts w:hint="default" w:ascii="宋体" w:hAnsi="宋体" w:eastAsia="宋体" w:cs="华文楷体"/>
          <w:bCs/>
          <w:color w:val="000000" w:themeColor="text1"/>
          <w:kern w:val="2"/>
          <w:sz w:val="24"/>
          <w:szCs w:val="22"/>
        </w:rPr>
      </w:pPr>
      <w:r>
        <w:rPr>
          <w:rFonts w:ascii="宋体" w:hAnsi="宋体" w:eastAsia="宋体" w:cs="华文楷体"/>
          <w:bCs/>
          <w:color w:val="000000" w:themeColor="text1"/>
          <w:kern w:val="2"/>
          <w:sz w:val="24"/>
          <w:szCs w:val="22"/>
        </w:rPr>
        <w:t>3、安装调试及其他辅材：包括本项目需要的全部辅料由中标人承担。在磋商报价明细表中列出。</w:t>
      </w:r>
    </w:p>
    <w:p w14:paraId="09486199">
      <w:pPr>
        <w:pStyle w:val="64"/>
        <w:tabs>
          <w:tab w:val="left" w:pos="3273"/>
        </w:tabs>
        <w:spacing w:after="150"/>
        <w:ind w:firstLine="422"/>
        <w:rPr>
          <w:rFonts w:hint="default" w:ascii="宋体" w:hAnsi="宋体" w:eastAsia="宋体" w:cs="华文楷体"/>
          <w:bCs/>
          <w:color w:val="000000" w:themeColor="text1"/>
          <w:kern w:val="2"/>
          <w:sz w:val="24"/>
          <w:szCs w:val="22"/>
        </w:rPr>
      </w:pPr>
      <w:r>
        <w:rPr>
          <w:rFonts w:hint="default" w:ascii="宋体" w:hAnsi="宋体" w:eastAsia="宋体" w:cs="华文楷体"/>
          <w:bCs/>
          <w:color w:val="000000" w:themeColor="text1"/>
          <w:kern w:val="2"/>
          <w:sz w:val="24"/>
          <w:szCs w:val="22"/>
        </w:rPr>
        <w:t>4.安装调试工作完成后，</w:t>
      </w:r>
      <w:r>
        <w:rPr>
          <w:rFonts w:ascii="宋体" w:hAnsi="宋体" w:eastAsia="宋体" w:cs="华文楷体"/>
          <w:bCs/>
          <w:color w:val="000000" w:themeColor="text1"/>
          <w:kern w:val="2"/>
          <w:sz w:val="24"/>
          <w:szCs w:val="22"/>
        </w:rPr>
        <w:t>成交供应商</w:t>
      </w:r>
      <w:r>
        <w:rPr>
          <w:rFonts w:hint="default" w:ascii="宋体" w:hAnsi="宋体" w:eastAsia="宋体" w:cs="华文楷体"/>
          <w:bCs/>
          <w:color w:val="000000" w:themeColor="text1"/>
          <w:kern w:val="2"/>
          <w:sz w:val="24"/>
          <w:szCs w:val="22"/>
        </w:rPr>
        <w:t>应提供咨询与全面技术支持，及时将其发现并掌握的有关货物的操作、故障检测、故障排除方法及一些新的技术发展通知采购人。</w:t>
      </w:r>
    </w:p>
    <w:p w14:paraId="6F3BC374">
      <w:pPr>
        <w:pStyle w:val="64"/>
        <w:spacing w:after="150"/>
        <w:rPr>
          <w:rFonts w:hint="default" w:ascii="宋体" w:hAnsi="宋体" w:eastAsia="宋体" w:cs="华文楷体"/>
          <w:b/>
          <w:color w:val="000000" w:themeColor="text1"/>
          <w:kern w:val="2"/>
          <w:sz w:val="24"/>
          <w:szCs w:val="22"/>
        </w:rPr>
      </w:pPr>
      <w:r>
        <w:rPr>
          <w:rFonts w:ascii="宋体" w:hAnsi="宋体" w:eastAsia="宋体" w:cs="华文楷体"/>
          <w:b/>
          <w:color w:val="000000" w:themeColor="text1"/>
          <w:kern w:val="2"/>
          <w:sz w:val="24"/>
          <w:szCs w:val="22"/>
        </w:rPr>
        <w:t>（六）索赔</w:t>
      </w:r>
    </w:p>
    <w:p w14:paraId="61A7DBED">
      <w:pPr>
        <w:pStyle w:val="64"/>
        <w:spacing w:after="150"/>
        <w:ind w:firstLine="422"/>
        <w:rPr>
          <w:rFonts w:hint="default" w:ascii="宋体" w:hAnsi="宋体" w:eastAsia="宋体" w:cs="华文楷体"/>
          <w:bCs/>
          <w:color w:val="000000" w:themeColor="text1"/>
          <w:kern w:val="2"/>
          <w:sz w:val="24"/>
          <w:szCs w:val="22"/>
        </w:rPr>
      </w:pPr>
      <w:r>
        <w:rPr>
          <w:rFonts w:hint="default" w:ascii="宋体" w:hAnsi="宋体" w:eastAsia="宋体" w:cs="华文楷体"/>
          <w:bCs/>
          <w:color w:val="000000" w:themeColor="text1"/>
          <w:kern w:val="2"/>
          <w:sz w:val="24"/>
          <w:szCs w:val="22"/>
        </w:rPr>
        <w:t>如果合同标的在安装、试运行和验收中卖方未能履行其在本合同项下承担的义务，买方有权向卖方提出索赔并寻求</w:t>
      </w:r>
      <w:r>
        <w:rPr>
          <w:rFonts w:ascii="宋体" w:hAnsi="宋体" w:eastAsia="宋体" w:cs="华文楷体"/>
          <w:bCs/>
          <w:color w:val="000000" w:themeColor="text1"/>
          <w:kern w:val="2"/>
          <w:sz w:val="24"/>
          <w:szCs w:val="22"/>
        </w:rPr>
        <w:t>合同中约定的</w:t>
      </w:r>
      <w:r>
        <w:rPr>
          <w:rFonts w:hint="default" w:ascii="宋体" w:hAnsi="宋体" w:eastAsia="宋体" w:cs="华文楷体"/>
          <w:bCs/>
          <w:color w:val="000000" w:themeColor="text1"/>
          <w:kern w:val="2"/>
          <w:sz w:val="24"/>
          <w:szCs w:val="22"/>
        </w:rPr>
        <w:t>救济方式，救济方式包括</w:t>
      </w:r>
      <w:r>
        <w:rPr>
          <w:rFonts w:ascii="宋体" w:hAnsi="宋体" w:eastAsia="宋体" w:cs="华文楷体"/>
          <w:bCs/>
          <w:color w:val="000000" w:themeColor="text1"/>
          <w:kern w:val="2"/>
          <w:sz w:val="24"/>
          <w:szCs w:val="22"/>
        </w:rPr>
        <w:t>（具体以合同约定内容为准，方式包括但不限于下列各项）</w:t>
      </w:r>
      <w:r>
        <w:rPr>
          <w:rFonts w:hint="default" w:ascii="宋体" w:hAnsi="宋体" w:eastAsia="宋体" w:cs="华文楷体"/>
          <w:bCs/>
          <w:color w:val="000000" w:themeColor="text1"/>
          <w:kern w:val="2"/>
          <w:sz w:val="24"/>
          <w:szCs w:val="22"/>
        </w:rPr>
        <w:t>：</w:t>
      </w:r>
    </w:p>
    <w:p w14:paraId="46A86738">
      <w:pPr>
        <w:pStyle w:val="64"/>
        <w:spacing w:after="150"/>
        <w:ind w:firstLine="422"/>
        <w:rPr>
          <w:rFonts w:hint="default" w:ascii="宋体" w:hAnsi="宋体" w:eastAsia="宋体" w:cs="华文楷体"/>
          <w:bCs/>
          <w:color w:val="000000" w:themeColor="text1"/>
          <w:kern w:val="2"/>
          <w:sz w:val="24"/>
          <w:szCs w:val="22"/>
        </w:rPr>
      </w:pPr>
      <w:r>
        <w:rPr>
          <w:rFonts w:hint="default" w:ascii="宋体" w:hAnsi="宋体" w:eastAsia="宋体" w:cs="华文楷体"/>
          <w:bCs/>
          <w:color w:val="000000" w:themeColor="text1"/>
          <w:kern w:val="2"/>
          <w:sz w:val="24"/>
          <w:szCs w:val="22"/>
        </w:rPr>
        <w:t>A. 卖方替换不符合合同规定的合同标的。</w:t>
      </w:r>
    </w:p>
    <w:p w14:paraId="363A9003">
      <w:pPr>
        <w:pStyle w:val="64"/>
        <w:spacing w:after="150"/>
        <w:ind w:firstLine="422"/>
        <w:rPr>
          <w:rFonts w:hint="default" w:ascii="宋体" w:hAnsi="宋体" w:eastAsia="宋体" w:cs="华文楷体"/>
          <w:bCs/>
          <w:color w:val="000000" w:themeColor="text1"/>
          <w:kern w:val="2"/>
          <w:sz w:val="24"/>
          <w:szCs w:val="22"/>
        </w:rPr>
      </w:pPr>
      <w:r>
        <w:rPr>
          <w:rFonts w:hint="default" w:ascii="宋体" w:hAnsi="宋体" w:eastAsia="宋体" w:cs="华文楷体"/>
          <w:bCs/>
          <w:color w:val="000000" w:themeColor="text1"/>
          <w:kern w:val="2"/>
          <w:sz w:val="24"/>
          <w:szCs w:val="22"/>
        </w:rPr>
        <w:t>B. 按质量低劣的程度、买方受损害的程度及损失的数额对合同标的进行降价。</w:t>
      </w:r>
    </w:p>
    <w:p w14:paraId="7B6A9395">
      <w:pPr>
        <w:pStyle w:val="64"/>
        <w:spacing w:after="150"/>
        <w:ind w:firstLine="422"/>
        <w:rPr>
          <w:rFonts w:hint="default" w:ascii="宋体" w:hAnsi="宋体" w:eastAsia="宋体" w:cs="华文楷体"/>
          <w:bCs/>
          <w:color w:val="000000" w:themeColor="text1"/>
          <w:kern w:val="2"/>
          <w:sz w:val="24"/>
          <w:szCs w:val="22"/>
        </w:rPr>
      </w:pPr>
      <w:r>
        <w:rPr>
          <w:rFonts w:hint="default" w:ascii="宋体" w:hAnsi="宋体" w:eastAsia="宋体" w:cs="华文楷体"/>
          <w:bCs/>
          <w:color w:val="000000" w:themeColor="text1"/>
          <w:kern w:val="2"/>
          <w:sz w:val="24"/>
          <w:szCs w:val="22"/>
        </w:rPr>
        <w:t>C. 拒收合同标的。</w:t>
      </w:r>
    </w:p>
    <w:p w14:paraId="15BE0869">
      <w:pPr>
        <w:pStyle w:val="64"/>
        <w:spacing w:after="150"/>
        <w:ind w:firstLine="422"/>
        <w:rPr>
          <w:rFonts w:hint="default" w:ascii="宋体" w:hAnsi="宋体" w:eastAsia="宋体" w:cs="华文楷体"/>
          <w:bCs/>
          <w:color w:val="000000" w:themeColor="text1"/>
          <w:kern w:val="2"/>
          <w:sz w:val="24"/>
          <w:szCs w:val="22"/>
        </w:rPr>
      </w:pPr>
      <w:r>
        <w:rPr>
          <w:rFonts w:hint="default" w:ascii="宋体" w:hAnsi="宋体" w:eastAsia="宋体" w:cs="华文楷体"/>
          <w:bCs/>
          <w:color w:val="000000" w:themeColor="text1"/>
          <w:kern w:val="2"/>
          <w:sz w:val="24"/>
          <w:szCs w:val="22"/>
        </w:rPr>
        <w:t>D. 赔偿由卖方违约引起的其他损失。</w:t>
      </w:r>
    </w:p>
    <w:p w14:paraId="6C73B069">
      <w:pPr>
        <w:pStyle w:val="64"/>
        <w:spacing w:after="150"/>
        <w:rPr>
          <w:rFonts w:hint="default" w:ascii="宋体" w:hAnsi="宋体" w:eastAsia="宋体" w:cs="华文楷体"/>
          <w:b/>
          <w:color w:val="000000" w:themeColor="text1"/>
          <w:kern w:val="2"/>
          <w:sz w:val="24"/>
          <w:szCs w:val="22"/>
        </w:rPr>
      </w:pPr>
      <w:r>
        <w:rPr>
          <w:rFonts w:ascii="宋体" w:hAnsi="宋体" w:eastAsia="宋体" w:cs="华文楷体"/>
          <w:b/>
          <w:color w:val="000000" w:themeColor="text1"/>
          <w:kern w:val="2"/>
          <w:sz w:val="24"/>
          <w:szCs w:val="22"/>
        </w:rPr>
        <w:t>三、其它要求</w:t>
      </w:r>
    </w:p>
    <w:p w14:paraId="1024FAB4">
      <w:pPr>
        <w:pStyle w:val="64"/>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1、违约责任</w:t>
      </w:r>
    </w:p>
    <w:p w14:paraId="624660B3">
      <w:pPr>
        <w:pStyle w:val="64"/>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（1）未按合同约定供货的违约责任</w:t>
      </w:r>
    </w:p>
    <w:p w14:paraId="3E54C485">
      <w:pPr>
        <w:pStyle w:val="64"/>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乙方所交付的货物的品种、型号、规格、数量、质量、性能等不符合合同规定标准的，甲方有权拒绝部分或全部货物，乙方应向甲方偿付被拒货物货款的20%（以合同约定为准）的违约金。</w:t>
      </w:r>
    </w:p>
    <w:p w14:paraId="7A7C4AEE">
      <w:pPr>
        <w:pStyle w:val="64"/>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（2）乙方未按期交货的违约责任</w:t>
      </w:r>
    </w:p>
    <w:p w14:paraId="0E25CE1A">
      <w:pPr>
        <w:pStyle w:val="64"/>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①如果乙方未能按合同规定的时间足额交货（不可抗力除外），须按合同规定支付延期交货违约金并赔偿由此给甲方造成的损失，同时甲方有权选择同意延长交货期还是不予延长交货期，甲方同意延长交货期的，延期交货的时间由双方另行确定。</w:t>
      </w:r>
    </w:p>
    <w:p w14:paraId="6ECB5F59">
      <w:pPr>
        <w:pStyle w:val="64"/>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②若乙方逾期交货达30天（含30天）以上的，甲方有权单方面解除采购合同，</w:t>
      </w:r>
      <w:bookmarkStart w:id="1" w:name="_Hlk148450119"/>
      <w:r>
        <w:rPr>
          <w:rFonts w:ascii="宋体" w:hAnsi="宋体" w:eastAsia="宋体" w:cs="华文楷体"/>
          <w:color w:val="000000" w:themeColor="text1"/>
          <w:kern w:val="2"/>
          <w:sz w:val="24"/>
          <w:szCs w:val="22"/>
        </w:rPr>
        <w:t>乙方应退还甲方</w:t>
      </w:r>
      <w:bookmarkEnd w:id="1"/>
      <w:r>
        <w:rPr>
          <w:rFonts w:ascii="宋体" w:hAnsi="宋体" w:eastAsia="宋体" w:cs="华文楷体"/>
          <w:color w:val="000000" w:themeColor="text1"/>
          <w:kern w:val="2"/>
          <w:sz w:val="24"/>
          <w:szCs w:val="22"/>
        </w:rPr>
        <w:t>已支付货款，并按合同额的30 ％向甲方支付违约金。若因此给甲方造成损失的，乙方还应赔偿甲方所有损失。</w:t>
      </w:r>
    </w:p>
    <w:p w14:paraId="658079F7">
      <w:pPr>
        <w:pStyle w:val="64"/>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③若乙方不能交货的，乙方应退还甲方已支付货款，并按合同额的30 ％向甲方支付违约金。若因此给甲方造成损失的，乙方还应赔偿甲方所受的损失。</w:t>
      </w:r>
    </w:p>
    <w:p w14:paraId="4E9BDA6C">
      <w:pPr>
        <w:pStyle w:val="64"/>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（3）乙方所供货物质量不合格的违约责任</w:t>
      </w:r>
    </w:p>
    <w:p w14:paraId="5D6BF114">
      <w:pPr>
        <w:pStyle w:val="64"/>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①若乙方所供货物在质量保证期头三个月内出现货物质量问题，甲方有权要求无条件免费更换相应设备。</w:t>
      </w:r>
    </w:p>
    <w:p w14:paraId="27A1F0E2">
      <w:pPr>
        <w:pStyle w:val="64"/>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②在质量保证期内，若乙方所供货物修理两次后，仍不能正常使用的产品，凭乙方提供的修理记录，由乙方负责为甲方免费调换同型号同规格的产品或者退货。甲方并有权要求乙方赔偿甲方交易价15%的损失。</w:t>
      </w:r>
    </w:p>
    <w:p w14:paraId="16539B40">
      <w:pPr>
        <w:pStyle w:val="64"/>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③依据合同规定甲方提出换货的，乙方应在20天内无条件更换至合格，换货所产生的费用由乙方自行承担；若更换后的产品还存在质量问题，甲方有权终止合同要求乙方全额退还货款且乙方应向甲方偿付货款的30%的违约金，违约金不足以补偿甲方损失的，甲方有权要求乙方继续对不足部分予以赔偿。</w:t>
      </w:r>
    </w:p>
    <w:p w14:paraId="4340056F">
      <w:pPr>
        <w:pStyle w:val="64"/>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2、甲方权利</w:t>
      </w:r>
    </w:p>
    <w:p w14:paraId="07F87F7A">
      <w:pPr>
        <w:pStyle w:val="64"/>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违约金及对甲方损失的赔偿金均可由甲方直接从未付的合同货款或质保金中扣除。</w:t>
      </w:r>
    </w:p>
    <w:p w14:paraId="6F4F79C0">
      <w:pPr>
        <w:pStyle w:val="64"/>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3、违约终止合同</w:t>
      </w:r>
    </w:p>
    <w:p w14:paraId="168D696A">
      <w:pPr>
        <w:pStyle w:val="64"/>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乙方存在下述任何一种违约行为，在甲方发出违约通知后30天内(或经甲方书面确认的更长时间内)仍未纠正的，甲方有权单方终止本合同。</w:t>
      </w:r>
    </w:p>
    <w:p w14:paraId="31D6896A">
      <w:pPr>
        <w:pStyle w:val="64"/>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（1）如果乙方未能在合同规定的期限内或双方另行确定的延期交货时间内交付合同约定的货物。</w:t>
      </w:r>
    </w:p>
    <w:p w14:paraId="5E30311C">
      <w:pPr>
        <w:pStyle w:val="64"/>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（2）乙方未能履行合同项下的任何其他义务。</w:t>
      </w:r>
    </w:p>
    <w:p w14:paraId="3A1AC852">
      <w:pPr>
        <w:pStyle w:val="64"/>
        <w:spacing w:after="150"/>
        <w:ind w:firstLine="422"/>
        <w:rPr>
          <w:rFonts w:hint="default" w:ascii="宋体" w:hAnsi="宋体" w:eastAsia="宋体" w:cs="华文楷体"/>
          <w:color w:val="000000" w:themeColor="text1"/>
          <w:kern w:val="2"/>
          <w:sz w:val="24"/>
          <w:szCs w:val="22"/>
        </w:rPr>
      </w:pPr>
      <w:r>
        <w:rPr>
          <w:rFonts w:ascii="宋体" w:hAnsi="宋体" w:eastAsia="宋体" w:cs="华文楷体"/>
          <w:color w:val="000000" w:themeColor="text1"/>
          <w:kern w:val="2"/>
          <w:sz w:val="24"/>
          <w:szCs w:val="22"/>
        </w:rPr>
        <w:t>4、合同纠纷处理方式</w:t>
      </w:r>
    </w:p>
    <w:p w14:paraId="20FA62E4">
      <w:pPr>
        <w:ind w:firstLine="480" w:firstLineChars="200"/>
        <w:rPr>
          <w:rFonts w:ascii="宋体" w:hAnsi="宋体" w:cs="华文楷体"/>
          <w:color w:val="000000" w:themeColor="text1"/>
          <w:sz w:val="24"/>
          <w:szCs w:val="22"/>
        </w:rPr>
      </w:pPr>
      <w:r>
        <w:rPr>
          <w:rFonts w:ascii="宋体" w:hAnsi="宋体" w:cs="华文楷体"/>
          <w:color w:val="000000" w:themeColor="text1"/>
          <w:sz w:val="24"/>
          <w:szCs w:val="22"/>
        </w:rPr>
        <w:t>因本合同或与本合同有关的一切事项发生争议，由双方友好协商解决。协商不成的，任何一方均可选择向甲方所在地仲裁委员会申请仲裁或向甲方所在地人民法院提出诉讼。</w:t>
      </w:r>
    </w:p>
    <w:p w14:paraId="14DB81DB">
      <w:pPr>
        <w:pStyle w:val="7"/>
        <w:ind w:left="0" w:firstLine="0" w:firstLineChars="0"/>
      </w:pPr>
    </w:p>
    <w:p w14:paraId="5785A051">
      <w:pPr>
        <w:widowControl/>
        <w:jc w:val="left"/>
        <w:rPr>
          <w:rFonts w:cs="华文楷体" w:asciiTheme="minorEastAsia" w:hAnsiTheme="minorEastAsia" w:eastAsiaTheme="minorEastAsia"/>
          <w:b/>
          <w:bCs/>
          <w:color w:val="000000" w:themeColor="text1"/>
          <w:kern w:val="0"/>
          <w:sz w:val="28"/>
          <w:szCs w:val="20"/>
        </w:rPr>
      </w:pPr>
      <w:r>
        <w:rPr>
          <w:rFonts w:hint="eastAsia" w:cs="华文楷体" w:asciiTheme="minorEastAsia" w:hAnsiTheme="minorEastAsia" w:eastAsiaTheme="minorEastAsia"/>
          <w:b/>
          <w:bCs/>
          <w:color w:val="000000" w:themeColor="text1"/>
          <w:kern w:val="0"/>
          <w:sz w:val="28"/>
          <w:szCs w:val="20"/>
        </w:rPr>
        <w:br w:type="page"/>
      </w:r>
    </w:p>
    <w:p w14:paraId="2EE99191">
      <w:pPr>
        <w:widowControl/>
        <w:ind w:firstLine="2811" w:firstLineChars="1000"/>
        <w:jc w:val="left"/>
        <w:rPr>
          <w:rFonts w:cs="华文楷体" w:asciiTheme="minorEastAsia" w:hAnsiTheme="minorEastAsia" w:eastAsiaTheme="minorEastAsia"/>
          <w:b/>
          <w:bCs/>
          <w:color w:val="000000" w:themeColor="text1"/>
          <w:kern w:val="0"/>
          <w:sz w:val="28"/>
          <w:szCs w:val="20"/>
        </w:rPr>
      </w:pPr>
      <w:r>
        <w:rPr>
          <w:rFonts w:hint="eastAsia" w:cs="华文楷体" w:asciiTheme="minorEastAsia" w:hAnsiTheme="minorEastAsia" w:eastAsiaTheme="minorEastAsia"/>
          <w:b/>
          <w:bCs/>
          <w:color w:val="000000" w:themeColor="text1"/>
          <w:kern w:val="0"/>
          <w:sz w:val="28"/>
          <w:szCs w:val="20"/>
        </w:rPr>
        <w:t>第三章</w:t>
      </w:r>
      <w:r>
        <w:rPr>
          <w:rFonts w:hint="eastAsia" w:cs="华文楷体" w:asciiTheme="minorEastAsia" w:hAnsiTheme="minorEastAsia" w:eastAsiaTheme="minorEastAsia"/>
          <w:b/>
          <w:bCs/>
          <w:color w:val="000000" w:themeColor="text1"/>
          <w:kern w:val="0"/>
          <w:sz w:val="28"/>
          <w:szCs w:val="20"/>
          <w:lang w:val="en-US" w:eastAsia="zh-CN"/>
        </w:rPr>
        <w:t xml:space="preserve">  </w:t>
      </w:r>
      <w:r>
        <w:rPr>
          <w:rFonts w:hint="eastAsia" w:cs="华文楷体" w:asciiTheme="minorEastAsia" w:hAnsiTheme="minorEastAsia" w:eastAsiaTheme="minorEastAsia"/>
          <w:b/>
          <w:bCs/>
          <w:color w:val="000000" w:themeColor="text1"/>
          <w:kern w:val="0"/>
          <w:sz w:val="28"/>
          <w:szCs w:val="20"/>
        </w:rPr>
        <w:t>响应文件格式</w:t>
      </w:r>
    </w:p>
    <w:p w14:paraId="42E683C8">
      <w:pPr>
        <w:pStyle w:val="43"/>
      </w:pPr>
    </w:p>
    <w:p w14:paraId="37CFEEC8">
      <w:pPr>
        <w:pStyle w:val="43"/>
        <w:numPr>
          <w:ilvl w:val="0"/>
          <w:numId w:val="6"/>
        </w:numPr>
        <w:rPr>
          <w:b/>
          <w:bCs/>
        </w:rPr>
      </w:pPr>
      <w:r>
        <w:rPr>
          <w:rFonts w:hint="eastAsia"/>
          <w:b/>
          <w:bCs/>
        </w:rPr>
        <w:t>供应商须知</w:t>
      </w:r>
    </w:p>
    <w:p w14:paraId="76CF624A">
      <w:pPr>
        <w:pStyle w:val="41"/>
        <w:numPr>
          <w:ilvl w:val="0"/>
          <w:numId w:val="0"/>
        </w:numPr>
        <w:spacing w:line="400" w:lineRule="exact"/>
        <w:ind w:firstLine="480" w:firstLineChars="200"/>
        <w:rPr>
          <w:rFonts w:hint="default" w:cs="华文楷体" w:asciiTheme="minorEastAsia" w:hAnsiTheme="minorEastAsia" w:eastAsiaTheme="minorEastAsia"/>
          <w:bCs/>
          <w:color w:val="000000" w:themeColor="text1"/>
          <w:sz w:val="24"/>
          <w:szCs w:val="24"/>
          <w:lang w:val="en-US" w:eastAsia="zh-CN"/>
        </w:rPr>
      </w:pPr>
      <w:r>
        <w:rPr>
          <w:rFonts w:hint="eastAsia" w:cs="华文楷体" w:asciiTheme="minorEastAsia" w:hAnsiTheme="minorEastAsia" w:eastAsiaTheme="minorEastAsia"/>
          <w:bCs/>
          <w:color w:val="000000" w:themeColor="text1"/>
          <w:sz w:val="24"/>
          <w:szCs w:val="24"/>
          <w:lang w:val="en-US" w:eastAsia="zh-CN"/>
        </w:rPr>
        <w:t>供应商须按照磋商文件要求编制响应文件。</w:t>
      </w:r>
    </w:p>
    <w:p w14:paraId="4BB92782">
      <w:pPr>
        <w:pStyle w:val="41"/>
        <w:numPr>
          <w:ilvl w:val="0"/>
          <w:numId w:val="0"/>
        </w:numPr>
        <w:spacing w:line="400" w:lineRule="exact"/>
        <w:ind w:firstLine="480" w:firstLineChars="200"/>
        <w:rPr>
          <w:rFonts w:cs="华文楷体" w:asciiTheme="minorEastAsia" w:hAnsiTheme="minorEastAsia" w:eastAsiaTheme="minorEastAsia"/>
          <w:bCs/>
          <w:color w:val="000000" w:themeColor="text1"/>
          <w:sz w:val="24"/>
          <w:szCs w:val="24"/>
        </w:rPr>
      </w:pPr>
    </w:p>
    <w:p w14:paraId="5F3CBF6E">
      <w:pPr>
        <w:pStyle w:val="41"/>
        <w:numPr>
          <w:ilvl w:val="0"/>
          <w:numId w:val="0"/>
        </w:numPr>
        <w:spacing w:line="400" w:lineRule="exact"/>
        <w:ind w:left="809" w:hanging="812" w:hangingChars="337"/>
        <w:rPr>
          <w:b/>
          <w:bCs/>
          <w:sz w:val="24"/>
          <w:szCs w:val="24"/>
        </w:rPr>
      </w:pPr>
      <w:r>
        <w:rPr>
          <w:rFonts w:hint="eastAsia"/>
          <w:b/>
          <w:bCs/>
          <w:sz w:val="24"/>
          <w:szCs w:val="24"/>
        </w:rPr>
        <w:t>二、响应文件格式如下</w:t>
      </w:r>
      <w:r>
        <w:rPr>
          <w:rFonts w:hint="eastAsia"/>
          <w:b/>
          <w:bCs/>
          <w:sz w:val="24"/>
          <w:szCs w:val="24"/>
          <w:lang w:eastAsia="zh-CN"/>
        </w:rPr>
        <w:t>（</w:t>
      </w:r>
      <w:r>
        <w:rPr>
          <w:rFonts w:hint="eastAsia"/>
          <w:b/>
          <w:bCs/>
          <w:sz w:val="24"/>
          <w:szCs w:val="24"/>
          <w:lang w:val="en-US" w:eastAsia="zh-CN"/>
        </w:rPr>
        <w:t>如有</w:t>
      </w:r>
      <w:r>
        <w:rPr>
          <w:rFonts w:hint="eastAsia"/>
          <w:b/>
          <w:bCs/>
          <w:sz w:val="24"/>
          <w:szCs w:val="24"/>
          <w:lang w:eastAsia="zh-CN"/>
        </w:rPr>
        <w:t>）</w:t>
      </w:r>
      <w:r>
        <w:rPr>
          <w:rFonts w:hint="eastAsia"/>
          <w:b/>
          <w:bCs/>
          <w:sz w:val="24"/>
          <w:szCs w:val="24"/>
        </w:rPr>
        <w:t>：</w:t>
      </w:r>
    </w:p>
    <w:p w14:paraId="3C05E538">
      <w:pPr>
        <w:pStyle w:val="40"/>
        <w:spacing w:before="0" w:after="0" w:line="340" w:lineRule="exact"/>
        <w:jc w:val="both"/>
        <w:outlineLvl w:val="9"/>
        <w:rPr>
          <w:rFonts w:cs="华文楷体" w:asciiTheme="minorEastAsia" w:hAnsiTheme="minorEastAsia" w:eastAsiaTheme="minorEastAsia"/>
          <w:color w:val="000000" w:themeColor="text1"/>
          <w:sz w:val="24"/>
          <w:szCs w:val="24"/>
        </w:rPr>
      </w:pPr>
      <w:bookmarkStart w:id="2" w:name="_Toc20642290"/>
      <w:bookmarkStart w:id="3" w:name="_Toc21001363"/>
      <w:bookmarkStart w:id="4" w:name="_Toc20816120"/>
      <w:bookmarkStart w:id="5" w:name="_Toc20988289"/>
      <w:bookmarkStart w:id="6" w:name="_Toc36287943"/>
      <w:bookmarkStart w:id="7" w:name="_Toc21000519"/>
    </w:p>
    <w:p w14:paraId="768CF1D1">
      <w:pPr>
        <w:pStyle w:val="40"/>
        <w:spacing w:before="0" w:after="0" w:line="340" w:lineRule="exact"/>
        <w:jc w:val="both"/>
        <w:outlineLvl w:val="9"/>
        <w:rPr>
          <w:rFonts w:cs="华文楷体" w:asciiTheme="minorEastAsia" w:hAnsiTheme="minorEastAsia" w:eastAsiaTheme="minorEastAsia"/>
          <w:color w:val="000000" w:themeColor="text1"/>
          <w:sz w:val="24"/>
          <w:szCs w:val="24"/>
        </w:rPr>
      </w:pPr>
    </w:p>
    <w:p w14:paraId="39AB99A5">
      <w:pPr>
        <w:pStyle w:val="40"/>
        <w:spacing w:before="0" w:after="0" w:line="340" w:lineRule="exact"/>
        <w:jc w:val="both"/>
        <w:outlineLvl w:val="9"/>
        <w:rPr>
          <w:rFonts w:cs="华文楷体" w:asciiTheme="minorEastAsia" w:hAnsiTheme="minorEastAsia" w:eastAsiaTheme="minorEastAsia"/>
          <w:color w:val="000000" w:themeColor="text1"/>
          <w:sz w:val="24"/>
          <w:szCs w:val="24"/>
        </w:rPr>
      </w:pPr>
    </w:p>
    <w:p w14:paraId="69D259F0">
      <w:pPr>
        <w:pStyle w:val="40"/>
        <w:spacing w:before="0" w:after="0" w:line="340" w:lineRule="exact"/>
        <w:jc w:val="both"/>
        <w:outlineLvl w:val="9"/>
        <w:rPr>
          <w:rFonts w:cs="华文楷体" w:asciiTheme="minorEastAsia" w:hAnsiTheme="minorEastAsia" w:eastAsiaTheme="minorEastAsia"/>
          <w:color w:val="000000" w:themeColor="text1"/>
          <w:sz w:val="24"/>
          <w:szCs w:val="24"/>
        </w:rPr>
      </w:pPr>
    </w:p>
    <w:p w14:paraId="49E59DB7">
      <w:pPr>
        <w:pStyle w:val="40"/>
        <w:spacing w:before="0" w:after="0" w:line="340" w:lineRule="exact"/>
        <w:jc w:val="both"/>
        <w:outlineLvl w:val="9"/>
        <w:rPr>
          <w:rFonts w:cs="华文楷体" w:asciiTheme="minorEastAsia" w:hAnsiTheme="minorEastAsia" w:eastAsiaTheme="minorEastAsia"/>
          <w:color w:val="000000" w:themeColor="text1"/>
          <w:sz w:val="24"/>
          <w:szCs w:val="24"/>
        </w:rPr>
      </w:pPr>
    </w:p>
    <w:p w14:paraId="5B9C9D2A">
      <w:pPr>
        <w:pStyle w:val="40"/>
        <w:spacing w:before="0" w:after="0" w:line="340" w:lineRule="exact"/>
        <w:jc w:val="both"/>
        <w:outlineLvl w:val="9"/>
        <w:rPr>
          <w:rFonts w:cs="华文楷体" w:asciiTheme="minorEastAsia" w:hAnsiTheme="minorEastAsia" w:eastAsiaTheme="minorEastAsia"/>
          <w:color w:val="000000" w:themeColor="text1"/>
          <w:sz w:val="24"/>
          <w:szCs w:val="24"/>
        </w:rPr>
      </w:pPr>
    </w:p>
    <w:p w14:paraId="23841944">
      <w:pPr>
        <w:pStyle w:val="40"/>
        <w:spacing w:before="0" w:after="0" w:line="340" w:lineRule="exact"/>
        <w:jc w:val="both"/>
        <w:outlineLvl w:val="9"/>
        <w:rPr>
          <w:rFonts w:cs="华文楷体" w:asciiTheme="minorEastAsia" w:hAnsiTheme="minorEastAsia" w:eastAsiaTheme="minorEastAsia"/>
          <w:color w:val="000000" w:themeColor="text1"/>
          <w:sz w:val="24"/>
          <w:szCs w:val="24"/>
        </w:rPr>
      </w:pPr>
    </w:p>
    <w:p w14:paraId="25999C8A">
      <w:pPr>
        <w:pStyle w:val="40"/>
        <w:spacing w:before="0" w:after="0" w:line="340" w:lineRule="exact"/>
        <w:jc w:val="both"/>
        <w:outlineLvl w:val="9"/>
        <w:rPr>
          <w:rFonts w:cs="华文楷体" w:asciiTheme="minorEastAsia" w:hAnsiTheme="minorEastAsia" w:eastAsiaTheme="minorEastAsia"/>
          <w:color w:val="000000" w:themeColor="text1"/>
          <w:sz w:val="24"/>
          <w:szCs w:val="24"/>
        </w:rPr>
      </w:pPr>
    </w:p>
    <w:p w14:paraId="0D97064D">
      <w:pPr>
        <w:pStyle w:val="40"/>
        <w:spacing w:before="0" w:after="0" w:line="340" w:lineRule="exact"/>
        <w:jc w:val="both"/>
        <w:outlineLvl w:val="9"/>
        <w:rPr>
          <w:rFonts w:cs="华文楷体" w:asciiTheme="minorEastAsia" w:hAnsiTheme="minorEastAsia" w:eastAsiaTheme="minorEastAsia"/>
          <w:color w:val="000000" w:themeColor="text1"/>
          <w:sz w:val="24"/>
          <w:szCs w:val="24"/>
        </w:rPr>
      </w:pPr>
    </w:p>
    <w:p w14:paraId="7E403CDA">
      <w:pPr>
        <w:pStyle w:val="40"/>
        <w:spacing w:before="0" w:after="0" w:line="340" w:lineRule="exact"/>
        <w:jc w:val="both"/>
        <w:outlineLvl w:val="9"/>
        <w:rPr>
          <w:rFonts w:cs="华文楷体" w:asciiTheme="minorEastAsia" w:hAnsiTheme="minorEastAsia" w:eastAsiaTheme="minorEastAsia"/>
          <w:color w:val="000000" w:themeColor="text1"/>
          <w:sz w:val="24"/>
          <w:szCs w:val="24"/>
        </w:rPr>
      </w:pPr>
    </w:p>
    <w:p w14:paraId="34A5DBA4">
      <w:pPr>
        <w:pStyle w:val="40"/>
        <w:spacing w:before="0" w:after="0" w:line="340" w:lineRule="exact"/>
        <w:jc w:val="both"/>
        <w:outlineLvl w:val="9"/>
        <w:rPr>
          <w:rFonts w:cs="华文楷体" w:asciiTheme="minorEastAsia" w:hAnsiTheme="minorEastAsia" w:eastAsiaTheme="minorEastAsia"/>
          <w:color w:val="000000" w:themeColor="text1"/>
          <w:sz w:val="24"/>
          <w:szCs w:val="24"/>
        </w:rPr>
      </w:pPr>
    </w:p>
    <w:p w14:paraId="39AEA4A1">
      <w:pPr>
        <w:pStyle w:val="40"/>
        <w:spacing w:before="0" w:after="0" w:line="340" w:lineRule="exact"/>
        <w:jc w:val="both"/>
        <w:outlineLvl w:val="9"/>
        <w:rPr>
          <w:rFonts w:cs="华文楷体" w:asciiTheme="minorEastAsia" w:hAnsiTheme="minorEastAsia" w:eastAsiaTheme="minorEastAsia"/>
          <w:color w:val="000000" w:themeColor="text1"/>
          <w:sz w:val="24"/>
          <w:szCs w:val="24"/>
        </w:rPr>
      </w:pPr>
    </w:p>
    <w:p w14:paraId="4DEA9A60">
      <w:pPr>
        <w:pStyle w:val="40"/>
        <w:spacing w:before="0" w:after="0" w:line="340" w:lineRule="exact"/>
        <w:jc w:val="both"/>
        <w:outlineLvl w:val="9"/>
        <w:rPr>
          <w:rFonts w:cs="华文楷体" w:asciiTheme="minorEastAsia" w:hAnsiTheme="minorEastAsia" w:eastAsiaTheme="minorEastAsia"/>
          <w:color w:val="000000" w:themeColor="text1"/>
          <w:sz w:val="24"/>
          <w:szCs w:val="24"/>
        </w:rPr>
      </w:pPr>
    </w:p>
    <w:p w14:paraId="2CADE462">
      <w:pPr>
        <w:pStyle w:val="40"/>
        <w:spacing w:before="0" w:after="0" w:line="340" w:lineRule="exact"/>
        <w:jc w:val="both"/>
        <w:outlineLvl w:val="9"/>
        <w:rPr>
          <w:rFonts w:cs="华文楷体" w:asciiTheme="minorEastAsia" w:hAnsiTheme="minorEastAsia" w:eastAsiaTheme="minorEastAsia"/>
          <w:color w:val="000000" w:themeColor="text1"/>
          <w:sz w:val="24"/>
          <w:szCs w:val="24"/>
        </w:rPr>
      </w:pPr>
    </w:p>
    <w:p w14:paraId="2E41AD2D">
      <w:pPr>
        <w:pStyle w:val="40"/>
        <w:spacing w:before="0" w:after="0" w:line="340" w:lineRule="exact"/>
        <w:jc w:val="both"/>
        <w:outlineLvl w:val="9"/>
        <w:rPr>
          <w:rFonts w:cs="华文楷体" w:asciiTheme="minorEastAsia" w:hAnsiTheme="minorEastAsia" w:eastAsiaTheme="minorEastAsia"/>
          <w:color w:val="000000" w:themeColor="text1"/>
          <w:sz w:val="24"/>
          <w:szCs w:val="24"/>
        </w:rPr>
      </w:pPr>
    </w:p>
    <w:p w14:paraId="71118FE7">
      <w:pPr>
        <w:pStyle w:val="40"/>
        <w:spacing w:before="0" w:after="0" w:line="340" w:lineRule="exact"/>
        <w:jc w:val="center"/>
        <w:outlineLvl w:val="9"/>
        <w:rPr>
          <w:rFonts w:cs="华文楷体" w:asciiTheme="minorEastAsia" w:hAnsiTheme="minorEastAsia" w:eastAsiaTheme="minorEastAsia"/>
          <w:color w:val="000000" w:themeColor="text1"/>
          <w:sz w:val="24"/>
          <w:szCs w:val="24"/>
        </w:rPr>
      </w:pPr>
    </w:p>
    <w:p w14:paraId="0D43A058">
      <w:pPr>
        <w:pStyle w:val="40"/>
        <w:spacing w:before="0" w:after="0" w:line="340" w:lineRule="exact"/>
        <w:jc w:val="center"/>
        <w:outlineLvl w:val="9"/>
        <w:rPr>
          <w:rFonts w:cs="华文楷体" w:asciiTheme="minorEastAsia" w:hAnsiTheme="minorEastAsia" w:eastAsiaTheme="minorEastAsia"/>
          <w:color w:val="000000" w:themeColor="text1"/>
          <w:sz w:val="24"/>
          <w:szCs w:val="24"/>
        </w:rPr>
      </w:pPr>
    </w:p>
    <w:p w14:paraId="470D61A0">
      <w:pPr>
        <w:pStyle w:val="40"/>
        <w:spacing w:before="0" w:after="0" w:line="340" w:lineRule="exact"/>
        <w:jc w:val="center"/>
        <w:outlineLvl w:val="9"/>
        <w:rPr>
          <w:rFonts w:cs="华文楷体" w:asciiTheme="minorEastAsia" w:hAnsiTheme="minorEastAsia" w:eastAsiaTheme="minorEastAsia"/>
          <w:color w:val="000000" w:themeColor="text1"/>
          <w:sz w:val="24"/>
          <w:szCs w:val="24"/>
        </w:rPr>
      </w:pPr>
    </w:p>
    <w:p w14:paraId="49DCAE1B">
      <w:pPr>
        <w:pStyle w:val="40"/>
        <w:spacing w:before="0" w:after="0" w:line="340" w:lineRule="exact"/>
        <w:jc w:val="center"/>
        <w:outlineLvl w:val="9"/>
        <w:rPr>
          <w:rFonts w:cs="华文楷体" w:asciiTheme="minorEastAsia" w:hAnsiTheme="minorEastAsia" w:eastAsiaTheme="minorEastAsia"/>
          <w:color w:val="000000" w:themeColor="text1"/>
          <w:sz w:val="24"/>
          <w:szCs w:val="24"/>
        </w:rPr>
      </w:pPr>
    </w:p>
    <w:p w14:paraId="4F6FAEF4">
      <w:pPr>
        <w:pStyle w:val="40"/>
        <w:spacing w:before="0" w:after="0" w:line="340" w:lineRule="exact"/>
        <w:jc w:val="center"/>
        <w:outlineLvl w:val="9"/>
        <w:rPr>
          <w:rFonts w:cs="华文楷体" w:asciiTheme="minorEastAsia" w:hAnsiTheme="minorEastAsia" w:eastAsiaTheme="minorEastAsia"/>
          <w:color w:val="000000" w:themeColor="text1"/>
          <w:sz w:val="24"/>
          <w:szCs w:val="24"/>
        </w:rPr>
      </w:pPr>
    </w:p>
    <w:p w14:paraId="37C47768">
      <w:pPr>
        <w:pStyle w:val="40"/>
        <w:spacing w:before="0" w:after="0" w:line="340" w:lineRule="exact"/>
        <w:jc w:val="center"/>
        <w:outlineLvl w:val="9"/>
        <w:rPr>
          <w:rFonts w:cs="华文楷体" w:asciiTheme="minorEastAsia" w:hAnsiTheme="minorEastAsia" w:eastAsiaTheme="minorEastAsia"/>
          <w:color w:val="000000" w:themeColor="text1"/>
          <w:sz w:val="24"/>
          <w:szCs w:val="24"/>
        </w:rPr>
      </w:pPr>
    </w:p>
    <w:p w14:paraId="316B45FC">
      <w:pPr>
        <w:pStyle w:val="40"/>
        <w:spacing w:before="0" w:after="0" w:line="340" w:lineRule="exact"/>
        <w:jc w:val="center"/>
        <w:outlineLvl w:val="9"/>
        <w:rPr>
          <w:rFonts w:cs="华文楷体" w:asciiTheme="minorEastAsia" w:hAnsiTheme="minorEastAsia" w:eastAsiaTheme="minorEastAsia"/>
          <w:color w:val="000000" w:themeColor="text1"/>
          <w:sz w:val="24"/>
          <w:szCs w:val="24"/>
        </w:rPr>
      </w:pPr>
    </w:p>
    <w:p w14:paraId="73B15EA6">
      <w:pPr>
        <w:pStyle w:val="40"/>
        <w:spacing w:before="0" w:after="0" w:line="340" w:lineRule="exact"/>
        <w:jc w:val="both"/>
        <w:outlineLvl w:val="9"/>
        <w:rPr>
          <w:rFonts w:cs="华文楷体" w:asciiTheme="minorEastAsia" w:hAnsiTheme="minorEastAsia" w:eastAsiaTheme="minorEastAsia"/>
          <w:color w:val="000000" w:themeColor="text1"/>
          <w:sz w:val="24"/>
          <w:szCs w:val="24"/>
        </w:rPr>
      </w:pPr>
    </w:p>
    <w:p w14:paraId="7C53B1C5">
      <w:pPr>
        <w:pStyle w:val="40"/>
        <w:spacing w:before="0" w:after="0" w:line="340" w:lineRule="exact"/>
        <w:jc w:val="both"/>
        <w:outlineLvl w:val="9"/>
        <w:rPr>
          <w:rFonts w:cs="华文楷体" w:asciiTheme="minorEastAsia" w:hAnsiTheme="minorEastAsia" w:eastAsiaTheme="minorEastAsia"/>
          <w:color w:val="000000" w:themeColor="text1"/>
          <w:sz w:val="24"/>
          <w:szCs w:val="24"/>
        </w:rPr>
      </w:pPr>
    </w:p>
    <w:p w14:paraId="69474571">
      <w:pPr>
        <w:pStyle w:val="40"/>
        <w:spacing w:before="0" w:after="0" w:line="340" w:lineRule="exact"/>
        <w:jc w:val="center"/>
        <w:outlineLvl w:val="9"/>
        <w:rPr>
          <w:rFonts w:cs="华文楷体" w:asciiTheme="minorEastAsia" w:hAnsiTheme="minorEastAsia" w:eastAsiaTheme="minorEastAsia"/>
          <w:color w:val="000000" w:themeColor="text1"/>
          <w:sz w:val="24"/>
          <w:szCs w:val="24"/>
        </w:rPr>
      </w:pPr>
    </w:p>
    <w:p w14:paraId="7EDA7815">
      <w:pPr>
        <w:pStyle w:val="40"/>
        <w:spacing w:before="0" w:after="0" w:line="340" w:lineRule="exact"/>
        <w:jc w:val="both"/>
        <w:outlineLvl w:val="9"/>
        <w:rPr>
          <w:rFonts w:cs="华文楷体" w:asciiTheme="majorEastAsia" w:hAnsiTheme="majorEastAsia" w:eastAsiaTheme="majorEastAsia"/>
          <w:color w:val="000000" w:themeColor="text1"/>
          <w:sz w:val="30"/>
          <w:szCs w:val="30"/>
          <w:highlight w:val="yellow"/>
        </w:rPr>
      </w:pPr>
    </w:p>
    <w:bookmarkEnd w:id="2"/>
    <w:bookmarkEnd w:id="3"/>
    <w:bookmarkEnd w:id="4"/>
    <w:bookmarkEnd w:id="5"/>
    <w:bookmarkEnd w:id="6"/>
    <w:bookmarkEnd w:id="7"/>
    <w:p w14:paraId="12B94750">
      <w:pPr>
        <w:spacing w:line="380" w:lineRule="exact"/>
        <w:rPr>
          <w:rFonts w:ascii="宋体" w:hAnsi="宋体" w:cs="宋体"/>
          <w:b/>
          <w:bCs/>
          <w:sz w:val="32"/>
          <w:szCs w:val="32"/>
          <w:highlight w:val="yellow"/>
        </w:rPr>
      </w:pPr>
    </w:p>
    <w:p w14:paraId="08D54C56">
      <w:pPr>
        <w:spacing w:line="380" w:lineRule="exact"/>
        <w:rPr>
          <w:rFonts w:ascii="宋体" w:hAnsi="宋体" w:cs="宋体"/>
          <w:b/>
          <w:bCs/>
          <w:sz w:val="32"/>
          <w:szCs w:val="32"/>
          <w:highlight w:val="yellow"/>
        </w:rPr>
      </w:pPr>
    </w:p>
    <w:p w14:paraId="3E759C66">
      <w:pPr>
        <w:spacing w:line="380" w:lineRule="exact"/>
        <w:rPr>
          <w:rFonts w:ascii="宋体" w:hAnsi="宋体" w:cs="宋体"/>
          <w:b/>
          <w:bCs/>
          <w:sz w:val="32"/>
          <w:szCs w:val="32"/>
          <w:highlight w:val="yellow"/>
        </w:rPr>
      </w:pPr>
    </w:p>
    <w:p w14:paraId="51E56388">
      <w:pPr>
        <w:spacing w:line="380" w:lineRule="exact"/>
        <w:rPr>
          <w:rFonts w:ascii="宋体" w:hAnsi="宋体" w:cs="宋体"/>
          <w:b/>
          <w:bCs/>
          <w:sz w:val="32"/>
          <w:szCs w:val="32"/>
          <w:highlight w:val="yellow"/>
        </w:rPr>
      </w:pPr>
    </w:p>
    <w:p w14:paraId="07730EED">
      <w:pPr>
        <w:spacing w:line="380" w:lineRule="exact"/>
        <w:rPr>
          <w:rFonts w:ascii="宋体" w:hAnsi="宋体" w:cs="宋体"/>
          <w:b/>
          <w:bCs/>
          <w:sz w:val="32"/>
          <w:szCs w:val="32"/>
          <w:highlight w:val="yellow"/>
        </w:rPr>
      </w:pPr>
    </w:p>
    <w:p w14:paraId="5D81E1A9">
      <w:pPr>
        <w:spacing w:line="380" w:lineRule="exact"/>
        <w:rPr>
          <w:rFonts w:ascii="宋体" w:hAnsi="宋体" w:cs="宋体"/>
          <w:b/>
          <w:bCs/>
          <w:sz w:val="32"/>
          <w:szCs w:val="32"/>
          <w:highlight w:val="yellow"/>
        </w:rPr>
      </w:pPr>
    </w:p>
    <w:p w14:paraId="60207743">
      <w:pPr>
        <w:spacing w:line="380" w:lineRule="exact"/>
        <w:rPr>
          <w:rFonts w:ascii="宋体" w:hAnsi="宋体" w:cs="宋体"/>
          <w:b/>
          <w:bCs/>
          <w:sz w:val="32"/>
          <w:szCs w:val="32"/>
          <w:highlight w:val="yellow"/>
        </w:rPr>
      </w:pPr>
    </w:p>
    <w:p w14:paraId="1A550A28">
      <w:pPr>
        <w:spacing w:line="380" w:lineRule="exact"/>
        <w:ind w:firstLine="2570" w:firstLineChars="800"/>
        <w:rPr>
          <w:rFonts w:ascii="宋体" w:hAnsi="宋体" w:cs="宋体"/>
          <w:b/>
          <w:bCs/>
          <w:sz w:val="32"/>
          <w:szCs w:val="32"/>
          <w:highlight w:val="yellow"/>
        </w:rPr>
      </w:pPr>
      <w:r>
        <w:rPr>
          <w:rFonts w:hint="eastAsia" w:ascii="宋体" w:hAnsi="宋体" w:cs="宋体"/>
          <w:b/>
          <w:bCs/>
          <w:sz w:val="32"/>
          <w:szCs w:val="32"/>
          <w:highlight w:val="yellow"/>
        </w:rPr>
        <w:t>（一）法定代表人授权委托书</w:t>
      </w:r>
    </w:p>
    <w:p w14:paraId="57445DD3">
      <w:pPr>
        <w:spacing w:line="380" w:lineRule="exact"/>
        <w:rPr>
          <w:rFonts w:ascii="宋体" w:hAnsi="宋体" w:cs="宋体"/>
          <w:sz w:val="24"/>
        </w:rPr>
      </w:pPr>
    </w:p>
    <w:p w14:paraId="4B03C379">
      <w:pPr>
        <w:spacing w:line="380" w:lineRule="exact"/>
        <w:rPr>
          <w:rFonts w:ascii="宋体" w:hAnsi="宋体" w:cs="宋体"/>
          <w:sz w:val="24"/>
        </w:rPr>
      </w:pPr>
    </w:p>
    <w:p w14:paraId="545A2C66">
      <w:pPr>
        <w:spacing w:line="380" w:lineRule="exact"/>
        <w:rPr>
          <w:rFonts w:ascii="宋体" w:hAnsi="宋体" w:cs="宋体"/>
          <w:sz w:val="24"/>
        </w:rPr>
      </w:pPr>
      <w:r>
        <w:rPr>
          <w:rFonts w:hint="eastAsia" w:ascii="宋体" w:hAnsi="宋体" w:cs="宋体"/>
          <w:sz w:val="24"/>
        </w:rPr>
        <w:t>委托人（全称）：</w:t>
      </w:r>
    </w:p>
    <w:p w14:paraId="2E6A0B19">
      <w:pPr>
        <w:spacing w:line="380" w:lineRule="exact"/>
        <w:rPr>
          <w:rFonts w:ascii="宋体" w:hAnsi="宋体" w:cs="宋体"/>
          <w:sz w:val="24"/>
        </w:rPr>
      </w:pPr>
      <w:r>
        <w:rPr>
          <w:rFonts w:hint="eastAsia" w:ascii="宋体" w:hAnsi="宋体" w:cs="宋体"/>
          <w:sz w:val="24"/>
        </w:rPr>
        <w:t>地  址：</w:t>
      </w:r>
    </w:p>
    <w:p w14:paraId="0F73E9A7">
      <w:pPr>
        <w:spacing w:line="380" w:lineRule="exact"/>
        <w:rPr>
          <w:rFonts w:ascii="宋体" w:hAnsi="宋体" w:cs="宋体"/>
          <w:sz w:val="24"/>
        </w:rPr>
      </w:pPr>
      <w:r>
        <w:rPr>
          <w:rFonts w:hint="eastAsia" w:ascii="宋体" w:hAnsi="宋体" w:cs="宋体"/>
          <w:sz w:val="24"/>
        </w:rPr>
        <w:t xml:space="preserve">法定代表人：              </w:t>
      </w:r>
    </w:p>
    <w:p w14:paraId="31682B82">
      <w:pPr>
        <w:spacing w:line="380" w:lineRule="exact"/>
        <w:rPr>
          <w:rFonts w:ascii="宋体" w:hAnsi="宋体" w:cs="宋体"/>
          <w:sz w:val="24"/>
        </w:rPr>
      </w:pPr>
      <w:r>
        <w:rPr>
          <w:rFonts w:hint="eastAsia" w:ascii="宋体" w:hAnsi="宋体" w:cs="宋体"/>
          <w:sz w:val="24"/>
        </w:rPr>
        <w:t>统一社会信用代码：</w:t>
      </w:r>
    </w:p>
    <w:p w14:paraId="501B23C0">
      <w:pPr>
        <w:spacing w:line="380" w:lineRule="exact"/>
        <w:rPr>
          <w:rFonts w:ascii="宋体" w:hAnsi="宋体" w:cs="宋体"/>
          <w:sz w:val="24"/>
        </w:rPr>
      </w:pPr>
    </w:p>
    <w:p w14:paraId="062A88B5">
      <w:pPr>
        <w:spacing w:line="380" w:lineRule="exact"/>
        <w:rPr>
          <w:rFonts w:ascii="宋体" w:hAnsi="宋体" w:cs="宋体"/>
          <w:sz w:val="24"/>
        </w:rPr>
      </w:pPr>
      <w:r>
        <w:rPr>
          <w:rFonts w:hint="eastAsia" w:ascii="宋体" w:hAnsi="宋体" w:cs="宋体"/>
          <w:sz w:val="24"/>
        </w:rPr>
        <w:t>受托人：                  先生（女士）</w:t>
      </w:r>
    </w:p>
    <w:p w14:paraId="2E2575B1">
      <w:pPr>
        <w:spacing w:line="380" w:lineRule="exact"/>
        <w:rPr>
          <w:rFonts w:ascii="宋体" w:hAnsi="宋体" w:cs="宋体"/>
          <w:sz w:val="24"/>
        </w:rPr>
      </w:pPr>
      <w:r>
        <w:rPr>
          <w:rFonts w:hint="eastAsia" w:ascii="宋体" w:hAnsi="宋体" w:cs="宋体"/>
          <w:sz w:val="24"/>
        </w:rPr>
        <w:t>身份证号：</w:t>
      </w:r>
    </w:p>
    <w:p w14:paraId="7DA3EBB0">
      <w:pPr>
        <w:spacing w:line="380" w:lineRule="exact"/>
        <w:jc w:val="center"/>
        <w:rPr>
          <w:rFonts w:ascii="宋体" w:hAnsi="宋体" w:cs="宋体"/>
          <w:sz w:val="24"/>
        </w:rPr>
      </w:pPr>
    </w:p>
    <w:p w14:paraId="56CEFF73">
      <w:pPr>
        <w:spacing w:line="380" w:lineRule="exact"/>
        <w:rPr>
          <w:rFonts w:ascii="宋体" w:hAnsi="宋体" w:cs="宋体"/>
          <w:sz w:val="24"/>
        </w:rPr>
      </w:pPr>
    </w:p>
    <w:p w14:paraId="47B9151D">
      <w:pPr>
        <w:spacing w:line="380" w:lineRule="exact"/>
        <w:ind w:firstLine="630"/>
        <w:rPr>
          <w:rFonts w:ascii="宋体" w:hAnsi="宋体" w:cs="宋体"/>
          <w:sz w:val="24"/>
        </w:rPr>
      </w:pPr>
      <w:r>
        <w:rPr>
          <w:rFonts w:hint="eastAsia" w:ascii="宋体" w:hAnsi="宋体" w:cs="宋体"/>
          <w:sz w:val="24"/>
        </w:rPr>
        <w:t>兹委托（            ）全权代表我企业（公司）参与</w:t>
      </w:r>
      <w:r>
        <w:rPr>
          <w:rFonts w:hint="eastAsia" w:ascii="宋体" w:hAnsi="宋体" w:cs="宋体"/>
          <w:sz w:val="24"/>
          <w:u w:val="single"/>
          <w:lang w:val="en-US" w:eastAsia="zh-CN"/>
        </w:rPr>
        <w:t xml:space="preserve">           </w:t>
      </w:r>
      <w:r>
        <w:rPr>
          <w:rFonts w:hint="eastAsia" w:ascii="宋体" w:hAnsi="宋体" w:cs="宋体"/>
          <w:sz w:val="24"/>
        </w:rPr>
        <w:t>[项目编号：</w:t>
      </w:r>
      <w:r>
        <w:rPr>
          <w:rFonts w:hint="eastAsia" w:ascii="宋体" w:hAnsi="宋体" w:cs="宋体"/>
          <w:sz w:val="24"/>
          <w:u w:val="single"/>
          <w:lang w:val="en-US" w:eastAsia="zh-CN"/>
        </w:rPr>
        <w:t xml:space="preserve">     </w:t>
      </w:r>
      <w:r>
        <w:rPr>
          <w:rFonts w:hint="eastAsia" w:ascii="宋体" w:hAnsi="宋体" w:cs="宋体"/>
          <w:sz w:val="24"/>
          <w:lang w:val="en-US" w:eastAsia="zh-CN"/>
        </w:rPr>
        <w:t xml:space="preserve"> </w:t>
      </w:r>
      <w:r>
        <w:rPr>
          <w:rFonts w:hint="eastAsia" w:ascii="宋体" w:hAnsi="宋体" w:cs="宋体"/>
          <w:sz w:val="24"/>
        </w:rPr>
        <w:t>]的磋商活动及签订合同。（         ）以我企业（公司）名义所为的行为及签署的文件，我企业（公司）均予以认可。有关法律责任均由我企业（公司）承担。（         ）无转委托权。委托期限自年  月   日起至年  月    日止。</w:t>
      </w:r>
    </w:p>
    <w:p w14:paraId="294059EB">
      <w:pPr>
        <w:spacing w:line="380" w:lineRule="exact"/>
        <w:rPr>
          <w:rFonts w:ascii="宋体" w:hAnsi="宋体" w:cs="宋体"/>
          <w:sz w:val="24"/>
        </w:rPr>
      </w:pPr>
      <w:r>
        <w:rPr>
          <w:rFonts w:hint="eastAsia" w:ascii="宋体" w:hAnsi="宋体" w:cs="宋体"/>
          <w:sz w:val="24"/>
        </w:rPr>
        <w:t>委托人（公章）：</w:t>
      </w:r>
    </w:p>
    <w:p w14:paraId="3FBD84B4">
      <w:pPr>
        <w:spacing w:line="380" w:lineRule="exact"/>
        <w:rPr>
          <w:rFonts w:ascii="宋体" w:hAnsi="宋体" w:cs="宋体"/>
          <w:sz w:val="24"/>
        </w:rPr>
      </w:pPr>
      <w:r>
        <w:rPr>
          <w:rFonts w:hint="eastAsia" w:ascii="宋体" w:hAnsi="宋体" w:cs="宋体"/>
          <w:sz w:val="24"/>
        </w:rPr>
        <w:t>法定代表人（负责人）（签字或盖章）：</w:t>
      </w:r>
    </w:p>
    <w:p w14:paraId="441E64EF">
      <w:pPr>
        <w:spacing w:line="380" w:lineRule="exact"/>
        <w:rPr>
          <w:rFonts w:ascii="宋体" w:hAnsi="宋体" w:cs="宋体"/>
          <w:sz w:val="24"/>
        </w:rPr>
      </w:pPr>
      <w:r>
        <w:rPr>
          <w:rFonts w:hint="eastAsia" w:ascii="宋体" w:hAnsi="宋体" w:cs="宋体"/>
          <w:sz w:val="24"/>
        </w:rPr>
        <w:t>受托人（签字或盖章）：</w:t>
      </w:r>
    </w:p>
    <w:p w14:paraId="549DD81E">
      <w:pPr>
        <w:spacing w:line="380" w:lineRule="exact"/>
        <w:ind w:firstLine="3561" w:firstLineChars="1484"/>
        <w:rPr>
          <w:rFonts w:ascii="宋体" w:hAnsi="宋体" w:cs="宋体"/>
          <w:sz w:val="24"/>
        </w:rPr>
      </w:pPr>
      <w:r>
        <w:rPr>
          <w:rFonts w:hint="eastAsia" w:ascii="宋体" w:hAnsi="宋体" w:cs="宋体"/>
          <w:sz w:val="24"/>
        </w:rPr>
        <w:t>年   月   日</w:t>
      </w:r>
    </w:p>
    <w:p w14:paraId="7542309C">
      <w:pPr>
        <w:spacing w:line="380" w:lineRule="exact"/>
        <w:rPr>
          <w:rFonts w:ascii="宋体" w:hAnsi="宋体" w:cs="宋体"/>
          <w:sz w:val="24"/>
        </w:rPr>
      </w:pPr>
      <w:r>
        <w:rPr>
          <w:rFonts w:hint="eastAsia" w:ascii="宋体" w:hAnsi="宋体" w:cs="宋体"/>
          <w:sz w:val="24"/>
        </w:rPr>
        <w:t>(受托人身份证复印件附后)</w:t>
      </w:r>
    </w:p>
    <w:p w14:paraId="7CA0EA0C">
      <w:pPr>
        <w:pStyle w:val="21"/>
      </w:pPr>
    </w:p>
    <w:p w14:paraId="74CA1269">
      <w:pPr>
        <w:pStyle w:val="23"/>
        <w:ind w:firstLine="480"/>
        <w:rPr>
          <w:rFonts w:hint="default"/>
        </w:rPr>
      </w:pPr>
    </w:p>
    <w:p w14:paraId="3436E384">
      <w:pPr>
        <w:spacing w:line="340" w:lineRule="exact"/>
        <w:rPr>
          <w:rFonts w:cs="华文楷体" w:asciiTheme="minorEastAsia" w:hAnsiTheme="minorEastAsia" w:eastAsiaTheme="minorEastAsia"/>
          <w:color w:val="000000" w:themeColor="text1"/>
        </w:rPr>
      </w:pPr>
      <w:r>
        <w:rPr>
          <w:rFonts w:cs="华文楷体" w:asciiTheme="minorEastAsia" w:hAnsiTheme="minorEastAsia" w:eastAsiaTheme="minorEastAsia"/>
          <w:color w:val="000000" w:themeColor="text1"/>
          <w:sz w:val="28"/>
          <w:szCs w:val="28"/>
        </w:rPr>
        <w:pict>
          <v:shape id="_x0000_s1026" o:spid="_x0000_s1026" o:spt="202" type="#_x0000_t202" style="position:absolute;left:0pt;margin-left:35.85pt;margin-top:14.9pt;height:78pt;width:376.15pt;mso-wrap-distance-bottom:0pt;mso-wrap-distance-left:9pt;mso-wrap-distance-right:9pt;mso-wrap-distance-top:0pt;z-index:251659264;mso-width-relative:page;mso-height-relative:page;" coordsize="21600,21600" o:gfxdata="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Oi0HhtgAAAAJAQAADwAAAAAAAAAB&#10;ACAAAAAiAAAAZHJzL2Rvd25yZXYueG1sUEsBAhQAFAAAAAgAh07iQHtw569JAgAAlQQAAA4AAAAA&#10;AAAAAQAgAAAAJwEAAGRycy9lMm9Eb2MueG1sUEsFBgAAAAAGAAYAWQEAAOIFAAAAAA==&#10;">
            <v:path/>
            <v:fill focussize="0,0"/>
            <v:stroke joinstyle="miter"/>
            <v:imagedata o:title=""/>
            <o:lock v:ext="edit"/>
            <v:textbox inset="7.19992125984252pt,1.27mm,7.19992125984252pt,1.27mm">
              <w:txbxContent>
                <w:p w14:paraId="4CA4288C">
                  <w:pPr>
                    <w:jc w:val="center"/>
                    <w:rPr>
                      <w:rFonts w:ascii="宋体" w:hAnsi="宋体"/>
                      <w:sz w:val="24"/>
                    </w:rPr>
                  </w:pPr>
                </w:p>
                <w:p w14:paraId="034A410A">
                  <w:pPr>
                    <w:rPr>
                      <w:rFonts w:ascii="宋体" w:hAnsi="宋体"/>
                      <w:sz w:val="24"/>
                    </w:rPr>
                  </w:pPr>
                </w:p>
                <w:p w14:paraId="7E914585">
                  <w:pPr>
                    <w:jc w:val="center"/>
                  </w:pPr>
                  <w:r>
                    <w:rPr>
                      <w:rFonts w:hint="eastAsia" w:ascii="宋体" w:hAnsi="宋体"/>
                      <w:sz w:val="24"/>
                    </w:rPr>
                    <w:t>（投标代表二代身份证正面复印件粘贴处）</w:t>
                  </w:r>
                </w:p>
              </w:txbxContent>
            </v:textbox>
            <w10:wrap type="square"/>
          </v:shape>
        </w:pict>
      </w:r>
      <w:bookmarkStart w:id="8" w:name="_Toc86202638"/>
    </w:p>
    <w:p w14:paraId="1D512A57">
      <w:pPr>
        <w:spacing w:line="400" w:lineRule="exact"/>
        <w:ind w:firstLine="480" w:firstLineChars="200"/>
        <w:rPr>
          <w:rFonts w:cs="华文楷体" w:asciiTheme="minorEastAsia" w:hAnsiTheme="minorEastAsia" w:eastAsiaTheme="minorEastAsia"/>
          <w:color w:val="000000" w:themeColor="text1"/>
          <w:sz w:val="24"/>
        </w:rPr>
      </w:pPr>
    </w:p>
    <w:p w14:paraId="07BAD5E0">
      <w:pPr>
        <w:spacing w:line="400" w:lineRule="exact"/>
        <w:ind w:firstLine="480" w:firstLineChars="200"/>
        <w:rPr>
          <w:rFonts w:cs="华文楷体" w:asciiTheme="minorEastAsia" w:hAnsiTheme="minorEastAsia" w:eastAsiaTheme="minorEastAsia"/>
          <w:color w:val="000000" w:themeColor="text1"/>
          <w:sz w:val="24"/>
        </w:rPr>
      </w:pPr>
    </w:p>
    <w:p w14:paraId="41F67EF8">
      <w:pPr>
        <w:spacing w:line="400" w:lineRule="exact"/>
        <w:ind w:firstLine="480" w:firstLineChars="200"/>
        <w:rPr>
          <w:rFonts w:cs="华文楷体" w:asciiTheme="minorEastAsia" w:hAnsiTheme="minorEastAsia" w:eastAsiaTheme="minorEastAsia"/>
          <w:color w:val="000000" w:themeColor="text1"/>
          <w:sz w:val="24"/>
        </w:rPr>
      </w:pPr>
    </w:p>
    <w:p w14:paraId="4B08B342">
      <w:pPr>
        <w:spacing w:line="400" w:lineRule="exact"/>
        <w:ind w:firstLine="480" w:firstLineChars="200"/>
        <w:rPr>
          <w:rFonts w:cs="华文楷体" w:asciiTheme="minorEastAsia" w:hAnsiTheme="minorEastAsia" w:eastAsiaTheme="minorEastAsia"/>
          <w:color w:val="000000" w:themeColor="text1"/>
          <w:sz w:val="24"/>
        </w:rPr>
      </w:pPr>
    </w:p>
    <w:p w14:paraId="3C4855CC">
      <w:pPr>
        <w:widowControl/>
        <w:jc w:val="left"/>
        <w:rPr>
          <w:rFonts w:cs="华文楷体" w:asciiTheme="minorEastAsia" w:hAnsiTheme="minorEastAsia" w:eastAsiaTheme="minorEastAsia"/>
          <w:b/>
          <w:color w:val="000000" w:themeColor="text1"/>
          <w:sz w:val="24"/>
        </w:rPr>
      </w:pPr>
      <w:r>
        <w:rPr>
          <w:rFonts w:cs="华文楷体" w:asciiTheme="minorEastAsia" w:hAnsiTheme="minorEastAsia" w:eastAsiaTheme="minorEastAsia"/>
          <w:color w:val="000000" w:themeColor="text1"/>
          <w:sz w:val="28"/>
          <w:szCs w:val="28"/>
        </w:rPr>
        <w:pict>
          <v:shape id="文本框 1" o:spid="_x0000_s1032" o:spt="202" type="#_x0000_t202" style="position:absolute;left:0pt;margin-left:36.75pt;margin-top:24.75pt;height:78pt;width:376.15pt;mso-wrap-distance-bottom:0pt;mso-wrap-distance-left:9pt;mso-wrap-distance-right:9pt;mso-wrap-distance-top:0pt;z-index:251660288;mso-width-relative:page;mso-height-relative:page;" coordsize="21600,21600" o:gfxdata="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aZqC7tkAAAAJAQAADwAAAAAA&#10;AAABACAAAAAiAAAAZHJzL2Rvd25yZXYueG1sUEsBAhQAFAAAAAgAh07iQINxoDBLAgAAlQQAAA4A&#10;AAAAAAAAAQAgAAAAKAEAAGRycy9lMm9Eb2MueG1sUEsFBgAAAAAGAAYAWQEAAOUFAAAAAA==&#10;">
            <v:path/>
            <v:fill focussize="0,0"/>
            <v:stroke joinstyle="miter"/>
            <v:imagedata o:title=""/>
            <o:lock v:ext="edit"/>
            <v:textbox inset="7.19992125984252pt,1.27mm,7.19992125984252pt,1.27mm">
              <w:txbxContent>
                <w:p w14:paraId="679A7311">
                  <w:pPr>
                    <w:jc w:val="center"/>
                    <w:rPr>
                      <w:rFonts w:ascii="宋体" w:hAnsi="宋体"/>
                      <w:sz w:val="24"/>
                    </w:rPr>
                  </w:pPr>
                </w:p>
                <w:p w14:paraId="27695CEB">
                  <w:pPr>
                    <w:rPr>
                      <w:rFonts w:ascii="宋体" w:hAnsi="宋体"/>
                      <w:sz w:val="24"/>
                    </w:rPr>
                  </w:pPr>
                </w:p>
                <w:p w14:paraId="1B84F7BB">
                  <w:pPr>
                    <w:jc w:val="center"/>
                  </w:pPr>
                  <w:r>
                    <w:rPr>
                      <w:rFonts w:hint="eastAsia" w:ascii="宋体" w:hAnsi="宋体"/>
                      <w:sz w:val="24"/>
                    </w:rPr>
                    <w:t>（投标代表二代身份证反面复印件粘贴处）</w:t>
                  </w:r>
                </w:p>
              </w:txbxContent>
            </v:textbox>
            <w10:wrap type="square"/>
          </v:shape>
        </w:pict>
      </w:r>
      <w:r>
        <w:rPr>
          <w:rFonts w:cs="华文楷体" w:asciiTheme="minorEastAsia" w:hAnsiTheme="minorEastAsia" w:eastAsiaTheme="minorEastAsia"/>
          <w:b/>
          <w:color w:val="000000" w:themeColor="text1"/>
          <w:sz w:val="24"/>
        </w:rPr>
        <w:br w:type="page"/>
      </w:r>
    </w:p>
    <w:p w14:paraId="76D1EAC9">
      <w:pPr>
        <w:pStyle w:val="6"/>
        <w:numPr>
          <w:ilvl w:val="0"/>
          <w:numId w:val="7"/>
        </w:numPr>
        <w:jc w:val="center"/>
        <w:rPr>
          <w:rFonts w:cs="华文楷体" w:asciiTheme="minorEastAsia" w:hAnsiTheme="minorEastAsia" w:eastAsiaTheme="minorEastAsia"/>
          <w:b/>
          <w:color w:val="000000" w:themeColor="text1"/>
          <w:sz w:val="32"/>
          <w:szCs w:val="32"/>
          <w:highlight w:val="yellow"/>
        </w:rPr>
      </w:pPr>
      <w:r>
        <w:rPr>
          <w:rFonts w:hint="eastAsia" w:cs="华文楷体" w:asciiTheme="minorEastAsia" w:hAnsiTheme="minorEastAsia" w:eastAsiaTheme="minorEastAsia"/>
          <w:b/>
          <w:color w:val="000000" w:themeColor="text1"/>
          <w:sz w:val="32"/>
          <w:szCs w:val="32"/>
          <w:highlight w:val="yellow"/>
          <w:lang w:val="en-US" w:eastAsia="zh-CN"/>
        </w:rPr>
        <w:t xml:space="preserve"> </w:t>
      </w:r>
      <w:r>
        <w:rPr>
          <w:rFonts w:hint="eastAsia" w:cs="华文楷体" w:asciiTheme="minorEastAsia" w:hAnsiTheme="minorEastAsia" w:eastAsiaTheme="minorEastAsia"/>
          <w:b/>
          <w:color w:val="000000" w:themeColor="text1"/>
          <w:sz w:val="32"/>
          <w:szCs w:val="32"/>
          <w:highlight w:val="yellow"/>
        </w:rPr>
        <w:t>磋商报价表</w:t>
      </w:r>
    </w:p>
    <w:p w14:paraId="44E65BF8">
      <w:pPr>
        <w:pStyle w:val="21"/>
      </w:pPr>
    </w:p>
    <w:p w14:paraId="3500861D">
      <w:pPr>
        <w:spacing w:line="440" w:lineRule="exact"/>
        <w:rPr>
          <w:rFonts w:ascii="宋体" w:hAnsi="宋体" w:cs="宋体"/>
          <w:b/>
          <w:bCs/>
          <w:sz w:val="24"/>
        </w:rPr>
      </w:pPr>
      <w:r>
        <w:rPr>
          <w:rFonts w:hint="eastAsia" w:ascii="宋体" w:hAnsi="宋体" w:cs="宋体"/>
          <w:b/>
          <w:bCs/>
          <w:sz w:val="24"/>
        </w:rPr>
        <w:t>本次</w:t>
      </w:r>
      <w:r>
        <w:rPr>
          <w:rFonts w:hint="eastAsia" w:ascii="宋体" w:hAnsi="宋体" w:cs="宋体"/>
          <w:b/>
          <w:bCs/>
          <w:sz w:val="24"/>
          <w:lang w:val="en-US" w:eastAsia="zh-CN"/>
        </w:rPr>
        <w:t>报价</w:t>
      </w:r>
      <w:r>
        <w:rPr>
          <w:rFonts w:hint="eastAsia" w:ascii="宋体" w:hAnsi="宋体" w:cs="宋体"/>
          <w:b/>
          <w:bCs/>
          <w:sz w:val="24"/>
        </w:rPr>
        <w:t>为首次报价</w:t>
      </w:r>
      <w:r>
        <w:rPr>
          <w:rFonts w:hint="eastAsia" w:ascii="宋体" w:hAnsi="宋体" w:cs="宋体"/>
          <w:b/>
          <w:bCs/>
          <w:sz w:val="24"/>
          <w:lang w:eastAsia="zh-CN"/>
        </w:rPr>
        <w:t>。</w:t>
      </w:r>
      <w:r>
        <w:rPr>
          <w:rFonts w:hint="eastAsia" w:ascii="宋体" w:hAnsi="宋体" w:cs="宋体"/>
          <w:b/>
          <w:bCs/>
          <w:sz w:val="24"/>
        </w:rPr>
        <w:t xml:space="preserve">                                </w:t>
      </w:r>
    </w:p>
    <w:p w14:paraId="3FFFC428">
      <w:pPr>
        <w:spacing w:line="440" w:lineRule="exact"/>
        <w:rPr>
          <w:rFonts w:ascii="宋体" w:hAnsi="宋体" w:cs="宋体"/>
          <w:b/>
          <w:bCs/>
          <w:sz w:val="24"/>
        </w:rPr>
      </w:pPr>
      <w:r>
        <w:rPr>
          <w:rFonts w:hint="eastAsia" w:ascii="宋体" w:hAnsi="宋体" w:cs="宋体"/>
          <w:b/>
          <w:bCs/>
          <w:sz w:val="24"/>
        </w:rPr>
        <w:t xml:space="preserve">项目名称： </w:t>
      </w:r>
    </w:p>
    <w:p w14:paraId="45E6B618">
      <w:pPr>
        <w:adjustRightInd w:val="0"/>
        <w:snapToGrid w:val="0"/>
        <w:spacing w:line="440" w:lineRule="exact"/>
        <w:rPr>
          <w:rFonts w:hint="eastAsia" w:eastAsia="宋体"/>
          <w:lang w:eastAsia="zh-CN"/>
        </w:rPr>
      </w:pPr>
      <w:r>
        <w:rPr>
          <w:rFonts w:hint="eastAsia" w:ascii="宋体" w:hAnsi="宋体" w:cs="宋体"/>
          <w:b/>
          <w:bCs/>
          <w:sz w:val="24"/>
        </w:rPr>
        <w:t>项目编号</w:t>
      </w:r>
      <w:r>
        <w:rPr>
          <w:rFonts w:hint="eastAsia" w:ascii="宋体" w:hAnsi="宋体" w:cs="宋体"/>
          <w:b/>
          <w:bCs/>
          <w:sz w:val="24"/>
          <w:lang w:eastAsia="zh-CN"/>
        </w:rPr>
        <w:t>：</w:t>
      </w:r>
    </w:p>
    <w:p w14:paraId="1F38B866">
      <w:pPr>
        <w:pStyle w:val="21"/>
        <w:ind w:left="0" w:firstLine="0"/>
      </w:pPr>
    </w:p>
    <w:tbl>
      <w:tblPr>
        <w:tblStyle w:val="15"/>
        <w:tblW w:w="9645" w:type="dxa"/>
        <w:tblInd w:w="0" w:type="dxa"/>
        <w:tblLayout w:type="fixed"/>
        <w:tblCellMar>
          <w:top w:w="0" w:type="dxa"/>
          <w:left w:w="108" w:type="dxa"/>
          <w:bottom w:w="0" w:type="dxa"/>
          <w:right w:w="108" w:type="dxa"/>
        </w:tblCellMar>
      </w:tblPr>
      <w:tblGrid>
        <w:gridCol w:w="993"/>
        <w:gridCol w:w="1696"/>
        <w:gridCol w:w="3711"/>
        <w:gridCol w:w="3245"/>
      </w:tblGrid>
      <w:tr w14:paraId="300D0CD1">
        <w:tblPrEx>
          <w:tblCellMar>
            <w:top w:w="0" w:type="dxa"/>
            <w:left w:w="108" w:type="dxa"/>
            <w:bottom w:w="0" w:type="dxa"/>
            <w:right w:w="108" w:type="dxa"/>
          </w:tblCellMar>
        </w:tblPrEx>
        <w:trPr>
          <w:trHeight w:val="455" w:hRule="atLeast"/>
        </w:trPr>
        <w:tc>
          <w:tcPr>
            <w:tcW w:w="993" w:type="dxa"/>
            <w:tcBorders>
              <w:top w:val="single" w:color="auto" w:sz="4" w:space="0"/>
              <w:left w:val="single" w:color="auto" w:sz="4" w:space="0"/>
              <w:bottom w:val="single" w:color="auto" w:sz="4" w:space="0"/>
              <w:right w:val="single" w:color="auto" w:sz="4" w:space="0"/>
            </w:tcBorders>
            <w:shd w:val="clear" w:color="000000" w:fill="D8D8D8"/>
            <w:vAlign w:val="center"/>
          </w:tcPr>
          <w:p w14:paraId="5A3C830E">
            <w:pPr>
              <w:widowControl/>
              <w:jc w:val="center"/>
              <w:rPr>
                <w:rFonts w:cs="华文楷体" w:asciiTheme="minorEastAsia" w:hAnsiTheme="minorEastAsia" w:eastAsiaTheme="minorEastAsia"/>
                <w:b/>
                <w:color w:val="000000" w:themeColor="text1"/>
                <w:kern w:val="0"/>
                <w:szCs w:val="21"/>
              </w:rPr>
            </w:pPr>
            <w:r>
              <w:rPr>
                <w:rFonts w:hint="eastAsia" w:cs="华文楷体" w:asciiTheme="minorEastAsia" w:hAnsiTheme="minorEastAsia" w:eastAsiaTheme="minorEastAsia"/>
                <w:b/>
                <w:color w:val="000000" w:themeColor="text1"/>
                <w:kern w:val="0"/>
                <w:szCs w:val="21"/>
              </w:rPr>
              <w:t>序号</w:t>
            </w:r>
          </w:p>
        </w:tc>
        <w:tc>
          <w:tcPr>
            <w:tcW w:w="5407" w:type="dxa"/>
            <w:gridSpan w:val="2"/>
            <w:tcBorders>
              <w:top w:val="single" w:color="auto" w:sz="4" w:space="0"/>
              <w:left w:val="nil"/>
              <w:bottom w:val="single" w:color="auto" w:sz="4" w:space="0"/>
              <w:right w:val="single" w:color="auto" w:sz="4" w:space="0"/>
            </w:tcBorders>
            <w:shd w:val="clear" w:color="000000" w:fill="D8D8D8"/>
            <w:vAlign w:val="center"/>
          </w:tcPr>
          <w:p w14:paraId="457ECF3E">
            <w:pPr>
              <w:widowControl/>
              <w:jc w:val="center"/>
              <w:rPr>
                <w:rFonts w:cs="华文楷体" w:asciiTheme="minorEastAsia" w:hAnsiTheme="minorEastAsia" w:eastAsiaTheme="minorEastAsia"/>
                <w:b/>
                <w:color w:val="000000" w:themeColor="text1"/>
                <w:kern w:val="0"/>
                <w:szCs w:val="21"/>
              </w:rPr>
            </w:pPr>
            <w:r>
              <w:rPr>
                <w:rFonts w:hint="eastAsia" w:cs="华文楷体" w:asciiTheme="minorEastAsia" w:hAnsiTheme="minorEastAsia" w:eastAsiaTheme="minorEastAsia"/>
                <w:b/>
                <w:color w:val="000000" w:themeColor="text1"/>
                <w:kern w:val="0"/>
                <w:szCs w:val="21"/>
                <w:lang w:val="en-US" w:eastAsia="zh-CN"/>
              </w:rPr>
              <w:t>项目</w:t>
            </w:r>
            <w:r>
              <w:rPr>
                <w:rFonts w:cs="华文楷体" w:asciiTheme="minorEastAsia" w:hAnsiTheme="minorEastAsia" w:eastAsiaTheme="minorEastAsia"/>
                <w:b/>
                <w:color w:val="000000" w:themeColor="text1"/>
                <w:kern w:val="0"/>
                <w:szCs w:val="21"/>
              </w:rPr>
              <w:t>名称</w:t>
            </w:r>
          </w:p>
        </w:tc>
        <w:tc>
          <w:tcPr>
            <w:tcW w:w="3245" w:type="dxa"/>
            <w:tcBorders>
              <w:top w:val="single" w:color="auto" w:sz="4" w:space="0"/>
              <w:left w:val="single" w:color="auto" w:sz="4" w:space="0"/>
              <w:bottom w:val="single" w:color="auto" w:sz="4" w:space="0"/>
              <w:right w:val="single" w:color="auto" w:sz="4" w:space="0"/>
            </w:tcBorders>
            <w:shd w:val="clear" w:color="000000" w:fill="D8D8D8"/>
            <w:vAlign w:val="center"/>
          </w:tcPr>
          <w:p w14:paraId="4D892DD5">
            <w:pPr>
              <w:widowControl/>
              <w:jc w:val="center"/>
              <w:rPr>
                <w:rFonts w:cs="华文楷体" w:asciiTheme="minorEastAsia" w:hAnsiTheme="minorEastAsia" w:eastAsiaTheme="minorEastAsia"/>
                <w:b/>
                <w:color w:val="000000" w:themeColor="text1"/>
                <w:kern w:val="0"/>
                <w:szCs w:val="21"/>
              </w:rPr>
            </w:pPr>
            <w:r>
              <w:rPr>
                <w:rFonts w:hint="eastAsia" w:cs="华文楷体" w:asciiTheme="minorEastAsia" w:hAnsiTheme="minorEastAsia" w:eastAsiaTheme="minorEastAsia"/>
                <w:b/>
                <w:color w:val="000000" w:themeColor="text1"/>
                <w:kern w:val="0"/>
                <w:szCs w:val="21"/>
              </w:rPr>
              <w:t>总价（元）</w:t>
            </w:r>
          </w:p>
        </w:tc>
      </w:tr>
      <w:tr w14:paraId="04F2FD88">
        <w:tblPrEx>
          <w:tblCellMar>
            <w:top w:w="0" w:type="dxa"/>
            <w:left w:w="108" w:type="dxa"/>
            <w:bottom w:w="0" w:type="dxa"/>
            <w:right w:w="108" w:type="dxa"/>
          </w:tblCellMar>
        </w:tblPrEx>
        <w:trPr>
          <w:trHeight w:val="687" w:hRule="atLeast"/>
        </w:trPr>
        <w:tc>
          <w:tcPr>
            <w:tcW w:w="993" w:type="dxa"/>
            <w:tcBorders>
              <w:top w:val="nil"/>
              <w:left w:val="single" w:color="auto" w:sz="4" w:space="0"/>
              <w:bottom w:val="single" w:color="auto" w:sz="4" w:space="0"/>
              <w:right w:val="single" w:color="auto" w:sz="4" w:space="0"/>
            </w:tcBorders>
            <w:shd w:val="clear" w:color="auto" w:fill="auto"/>
            <w:vAlign w:val="center"/>
          </w:tcPr>
          <w:p w14:paraId="579CE18F">
            <w:pPr>
              <w:widowControl/>
              <w:jc w:val="center"/>
              <w:rPr>
                <w:rFonts w:cs="华文楷体" w:asciiTheme="minorEastAsia" w:hAnsiTheme="minorEastAsia" w:eastAsiaTheme="minorEastAsia"/>
                <w:color w:val="000000" w:themeColor="text1"/>
                <w:kern w:val="0"/>
                <w:szCs w:val="21"/>
              </w:rPr>
            </w:pPr>
            <w:r>
              <w:rPr>
                <w:rFonts w:hint="eastAsia" w:cs="华文楷体" w:asciiTheme="minorEastAsia" w:hAnsiTheme="minorEastAsia" w:eastAsiaTheme="minorEastAsia"/>
                <w:color w:val="000000" w:themeColor="text1"/>
                <w:kern w:val="0"/>
                <w:szCs w:val="21"/>
              </w:rPr>
              <w:t>1</w:t>
            </w:r>
          </w:p>
        </w:tc>
        <w:tc>
          <w:tcPr>
            <w:tcW w:w="5407" w:type="dxa"/>
            <w:gridSpan w:val="2"/>
            <w:tcBorders>
              <w:top w:val="nil"/>
              <w:left w:val="nil"/>
              <w:bottom w:val="single" w:color="auto" w:sz="4" w:space="0"/>
              <w:right w:val="single" w:color="auto" w:sz="4" w:space="0"/>
            </w:tcBorders>
            <w:shd w:val="clear" w:color="auto" w:fill="auto"/>
            <w:vAlign w:val="center"/>
          </w:tcPr>
          <w:p w14:paraId="495227CA">
            <w:pPr>
              <w:pStyle w:val="41"/>
              <w:numPr>
                <w:ilvl w:val="0"/>
                <w:numId w:val="0"/>
              </w:numPr>
              <w:tabs>
                <w:tab w:val="left" w:pos="0"/>
              </w:tabs>
              <w:spacing w:line="340" w:lineRule="exact"/>
              <w:jc w:val="center"/>
              <w:rPr>
                <w:rFonts w:cs="华文楷体" w:asciiTheme="minorEastAsia" w:hAnsiTheme="minorEastAsia" w:eastAsiaTheme="minorEastAsia"/>
                <w:b/>
                <w:bCs/>
                <w:color w:val="000000" w:themeColor="text1"/>
                <w:sz w:val="24"/>
                <w:szCs w:val="24"/>
              </w:rPr>
            </w:pPr>
          </w:p>
          <w:p w14:paraId="4224DF65">
            <w:pPr>
              <w:pStyle w:val="41"/>
              <w:numPr>
                <w:ilvl w:val="0"/>
                <w:numId w:val="0"/>
              </w:numPr>
              <w:tabs>
                <w:tab w:val="left" w:pos="0"/>
              </w:tabs>
              <w:spacing w:line="340" w:lineRule="exact"/>
              <w:jc w:val="center"/>
              <w:rPr>
                <w:rFonts w:cs="华文楷体" w:asciiTheme="minorEastAsia" w:hAnsiTheme="minorEastAsia" w:eastAsiaTheme="minorEastAsia"/>
                <w:b/>
                <w:bCs/>
                <w:color w:val="000000" w:themeColor="text1"/>
                <w:sz w:val="24"/>
                <w:szCs w:val="24"/>
              </w:rPr>
            </w:pPr>
          </w:p>
        </w:tc>
        <w:tc>
          <w:tcPr>
            <w:tcW w:w="3245" w:type="dxa"/>
            <w:tcBorders>
              <w:top w:val="nil"/>
              <w:left w:val="single" w:color="auto" w:sz="4" w:space="0"/>
              <w:bottom w:val="single" w:color="auto" w:sz="4" w:space="0"/>
              <w:right w:val="single" w:color="auto" w:sz="4" w:space="0"/>
            </w:tcBorders>
            <w:shd w:val="clear" w:color="auto" w:fill="auto"/>
            <w:vAlign w:val="center"/>
          </w:tcPr>
          <w:p w14:paraId="5FA675F1">
            <w:pPr>
              <w:widowControl/>
              <w:spacing w:line="400" w:lineRule="exact"/>
              <w:jc w:val="center"/>
              <w:rPr>
                <w:rFonts w:cs="华文楷体" w:asciiTheme="minorEastAsia" w:hAnsiTheme="minorEastAsia" w:eastAsiaTheme="minorEastAsia"/>
                <w:color w:val="000000" w:themeColor="text1"/>
                <w:kern w:val="0"/>
                <w:szCs w:val="21"/>
              </w:rPr>
            </w:pPr>
          </w:p>
        </w:tc>
      </w:tr>
      <w:tr w14:paraId="38D7308A">
        <w:tblPrEx>
          <w:tblCellMar>
            <w:top w:w="0" w:type="dxa"/>
            <w:left w:w="108" w:type="dxa"/>
            <w:bottom w:w="0" w:type="dxa"/>
            <w:right w:w="108" w:type="dxa"/>
          </w:tblCellMar>
        </w:tblPrEx>
        <w:trPr>
          <w:trHeight w:val="830" w:hRule="atLeast"/>
        </w:trPr>
        <w:tc>
          <w:tcPr>
            <w:tcW w:w="26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E8D810">
            <w:pPr>
              <w:pStyle w:val="41"/>
              <w:numPr>
                <w:ilvl w:val="0"/>
                <w:numId w:val="0"/>
              </w:numPr>
              <w:tabs>
                <w:tab w:val="left" w:pos="0"/>
              </w:tabs>
              <w:spacing w:line="340" w:lineRule="exact"/>
              <w:jc w:val="center"/>
              <w:rPr>
                <w:rFonts w:cs="华文楷体" w:asciiTheme="minorEastAsia" w:hAnsiTheme="minorEastAsia" w:eastAsiaTheme="minorEastAsia"/>
                <w:color w:val="000000" w:themeColor="text1"/>
                <w:kern w:val="2"/>
              </w:rPr>
            </w:pPr>
            <w:r>
              <w:rPr>
                <w:rFonts w:hint="eastAsia" w:cs="华文楷体" w:asciiTheme="minorEastAsia" w:hAnsiTheme="minorEastAsia" w:eastAsiaTheme="minorEastAsia"/>
                <w:b/>
                <w:bCs/>
                <w:color w:val="000000" w:themeColor="text1"/>
                <w:sz w:val="24"/>
                <w:szCs w:val="24"/>
              </w:rPr>
              <w:t>质保期（年）</w:t>
            </w:r>
          </w:p>
        </w:tc>
        <w:tc>
          <w:tcPr>
            <w:tcW w:w="6956" w:type="dxa"/>
            <w:gridSpan w:val="2"/>
            <w:tcBorders>
              <w:top w:val="single" w:color="auto" w:sz="4" w:space="0"/>
              <w:left w:val="nil"/>
              <w:bottom w:val="single" w:color="auto" w:sz="4" w:space="0"/>
              <w:right w:val="single" w:color="auto" w:sz="4" w:space="0"/>
            </w:tcBorders>
            <w:vAlign w:val="center"/>
          </w:tcPr>
          <w:p w14:paraId="4A9E871A">
            <w:pPr>
              <w:widowControl/>
              <w:spacing w:line="400" w:lineRule="exact"/>
              <w:rPr>
                <w:rFonts w:cs="华文楷体" w:asciiTheme="minorEastAsia" w:hAnsiTheme="minorEastAsia" w:eastAsiaTheme="minorEastAsia"/>
                <w:b/>
                <w:color w:val="000000" w:themeColor="text1"/>
                <w:kern w:val="0"/>
                <w:szCs w:val="21"/>
              </w:rPr>
            </w:pPr>
          </w:p>
        </w:tc>
      </w:tr>
      <w:tr w14:paraId="5C805A27">
        <w:tblPrEx>
          <w:tblCellMar>
            <w:top w:w="0" w:type="dxa"/>
            <w:left w:w="108" w:type="dxa"/>
            <w:bottom w:w="0" w:type="dxa"/>
            <w:right w:w="108" w:type="dxa"/>
          </w:tblCellMar>
        </w:tblPrEx>
        <w:trPr>
          <w:trHeight w:val="830" w:hRule="atLeast"/>
        </w:trPr>
        <w:tc>
          <w:tcPr>
            <w:tcW w:w="26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D96821">
            <w:pPr>
              <w:pStyle w:val="41"/>
              <w:numPr>
                <w:ilvl w:val="0"/>
                <w:numId w:val="0"/>
              </w:numPr>
              <w:tabs>
                <w:tab w:val="left" w:pos="0"/>
              </w:tabs>
              <w:spacing w:line="340" w:lineRule="exact"/>
              <w:jc w:val="center"/>
              <w:rPr>
                <w:rFonts w:cs="华文楷体" w:asciiTheme="minorEastAsia" w:hAnsiTheme="minorEastAsia" w:eastAsiaTheme="minorEastAsia"/>
                <w:b/>
                <w:bCs/>
                <w:color w:val="000000" w:themeColor="text1"/>
                <w:sz w:val="24"/>
                <w:szCs w:val="24"/>
              </w:rPr>
            </w:pPr>
            <w:r>
              <w:rPr>
                <w:rFonts w:hint="eastAsia" w:cs="华文楷体" w:asciiTheme="minorEastAsia" w:hAnsiTheme="minorEastAsia" w:eastAsiaTheme="minorEastAsia"/>
                <w:b/>
                <w:bCs/>
                <w:color w:val="000000" w:themeColor="text1"/>
                <w:sz w:val="24"/>
                <w:szCs w:val="24"/>
              </w:rPr>
              <w:t>供货期（天）</w:t>
            </w:r>
          </w:p>
        </w:tc>
        <w:tc>
          <w:tcPr>
            <w:tcW w:w="6956" w:type="dxa"/>
            <w:gridSpan w:val="2"/>
            <w:tcBorders>
              <w:top w:val="single" w:color="auto" w:sz="4" w:space="0"/>
              <w:left w:val="nil"/>
              <w:bottom w:val="single" w:color="auto" w:sz="4" w:space="0"/>
              <w:right w:val="single" w:color="auto" w:sz="4" w:space="0"/>
            </w:tcBorders>
            <w:vAlign w:val="center"/>
          </w:tcPr>
          <w:p w14:paraId="32D00DFD">
            <w:pPr>
              <w:widowControl/>
              <w:spacing w:line="400" w:lineRule="exact"/>
              <w:rPr>
                <w:rFonts w:cs="华文楷体" w:asciiTheme="minorEastAsia" w:hAnsiTheme="minorEastAsia" w:eastAsiaTheme="minorEastAsia"/>
                <w:b/>
                <w:color w:val="000000" w:themeColor="text1"/>
                <w:kern w:val="0"/>
                <w:szCs w:val="21"/>
              </w:rPr>
            </w:pPr>
          </w:p>
        </w:tc>
      </w:tr>
      <w:tr w14:paraId="196B96E1">
        <w:tblPrEx>
          <w:tblCellMar>
            <w:top w:w="0" w:type="dxa"/>
            <w:left w:w="108" w:type="dxa"/>
            <w:bottom w:w="0" w:type="dxa"/>
            <w:right w:w="108" w:type="dxa"/>
          </w:tblCellMar>
        </w:tblPrEx>
        <w:trPr>
          <w:trHeight w:val="830" w:hRule="atLeast"/>
        </w:trPr>
        <w:tc>
          <w:tcPr>
            <w:tcW w:w="26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40F99C">
            <w:pPr>
              <w:pStyle w:val="41"/>
              <w:numPr>
                <w:ilvl w:val="0"/>
                <w:numId w:val="0"/>
              </w:numPr>
              <w:tabs>
                <w:tab w:val="left" w:pos="0"/>
              </w:tabs>
              <w:spacing w:line="340" w:lineRule="exact"/>
              <w:jc w:val="center"/>
              <w:rPr>
                <w:rFonts w:cs="华文楷体" w:asciiTheme="minorEastAsia" w:hAnsiTheme="minorEastAsia" w:eastAsiaTheme="minorEastAsia"/>
                <w:b/>
                <w:bCs/>
                <w:color w:val="000000" w:themeColor="text1"/>
                <w:sz w:val="24"/>
                <w:szCs w:val="24"/>
              </w:rPr>
            </w:pPr>
            <w:r>
              <w:rPr>
                <w:rFonts w:hint="eastAsia" w:cs="华文楷体" w:asciiTheme="minorEastAsia" w:hAnsiTheme="minorEastAsia" w:eastAsiaTheme="minorEastAsia"/>
                <w:b/>
                <w:bCs/>
                <w:color w:val="000000" w:themeColor="text1"/>
                <w:sz w:val="24"/>
                <w:szCs w:val="24"/>
              </w:rPr>
              <w:t>合计（人民币）</w:t>
            </w:r>
          </w:p>
        </w:tc>
        <w:tc>
          <w:tcPr>
            <w:tcW w:w="6956" w:type="dxa"/>
            <w:gridSpan w:val="2"/>
            <w:tcBorders>
              <w:top w:val="single" w:color="auto" w:sz="4" w:space="0"/>
              <w:left w:val="nil"/>
              <w:bottom w:val="single" w:color="auto" w:sz="4" w:space="0"/>
              <w:right w:val="single" w:color="auto" w:sz="4" w:space="0"/>
            </w:tcBorders>
            <w:vAlign w:val="center"/>
          </w:tcPr>
          <w:p w14:paraId="4AC6F900">
            <w:pPr>
              <w:widowControl/>
              <w:spacing w:line="400" w:lineRule="exact"/>
              <w:rPr>
                <w:rFonts w:cs="华文楷体" w:asciiTheme="minorEastAsia" w:hAnsiTheme="minorEastAsia" w:eastAsiaTheme="minorEastAsia"/>
                <w:b/>
                <w:color w:val="000000" w:themeColor="text1"/>
                <w:kern w:val="0"/>
                <w:sz w:val="24"/>
              </w:rPr>
            </w:pPr>
            <w:r>
              <w:rPr>
                <w:rFonts w:hint="eastAsia" w:cs="华文楷体" w:asciiTheme="minorEastAsia" w:hAnsiTheme="minorEastAsia" w:eastAsiaTheme="minorEastAsia"/>
                <w:b/>
                <w:color w:val="000000" w:themeColor="text1"/>
                <w:kern w:val="0"/>
                <w:sz w:val="24"/>
              </w:rPr>
              <w:t>小写：           （大写：                           ）</w:t>
            </w:r>
          </w:p>
        </w:tc>
      </w:tr>
      <w:tr w14:paraId="528A7CE5">
        <w:tblPrEx>
          <w:tblCellMar>
            <w:top w:w="0" w:type="dxa"/>
            <w:left w:w="108" w:type="dxa"/>
            <w:bottom w:w="0" w:type="dxa"/>
            <w:right w:w="108" w:type="dxa"/>
          </w:tblCellMar>
        </w:tblPrEx>
        <w:trPr>
          <w:trHeight w:val="2664" w:hRule="atLeast"/>
        </w:trPr>
        <w:tc>
          <w:tcPr>
            <w:tcW w:w="9645" w:type="dxa"/>
            <w:gridSpan w:val="4"/>
            <w:tcBorders>
              <w:top w:val="single" w:color="auto" w:sz="4" w:space="0"/>
              <w:left w:val="single" w:color="auto" w:sz="4" w:space="0"/>
              <w:bottom w:val="single" w:color="auto" w:sz="4" w:space="0"/>
              <w:right w:val="single" w:color="auto" w:sz="4" w:space="0"/>
            </w:tcBorders>
            <w:shd w:val="clear" w:color="auto" w:fill="auto"/>
          </w:tcPr>
          <w:p w14:paraId="19101A52">
            <w:pPr>
              <w:widowControl/>
              <w:spacing w:line="400" w:lineRule="exact"/>
              <w:rPr>
                <w:rFonts w:cs="华文楷体" w:asciiTheme="minorEastAsia" w:hAnsiTheme="minorEastAsia" w:eastAsiaTheme="minorEastAsia"/>
                <w:b/>
                <w:color w:val="000000" w:themeColor="text1"/>
                <w:kern w:val="0"/>
                <w:sz w:val="24"/>
              </w:rPr>
            </w:pPr>
            <w:r>
              <w:rPr>
                <w:rFonts w:hint="eastAsia" w:cs="华文楷体" w:asciiTheme="minorEastAsia" w:hAnsiTheme="minorEastAsia" w:eastAsiaTheme="minorEastAsia"/>
                <w:b/>
                <w:color w:val="000000" w:themeColor="text1"/>
                <w:kern w:val="0"/>
                <w:sz w:val="24"/>
              </w:rPr>
              <w:t>其他需要说明事项：</w:t>
            </w:r>
          </w:p>
        </w:tc>
      </w:tr>
    </w:tbl>
    <w:p w14:paraId="501F1485">
      <w:pPr>
        <w:spacing w:line="340" w:lineRule="exact"/>
        <w:rPr>
          <w:rFonts w:cs="华文楷体" w:asciiTheme="minorEastAsia" w:hAnsiTheme="minorEastAsia" w:eastAsiaTheme="minorEastAsia"/>
          <w:b/>
          <w:color w:val="000000" w:themeColor="text1"/>
          <w:sz w:val="24"/>
          <w:highlight w:val="yellow"/>
        </w:rPr>
      </w:pPr>
    </w:p>
    <w:p w14:paraId="5AB6FDE3">
      <w:pPr>
        <w:spacing w:line="340" w:lineRule="exact"/>
        <w:rPr>
          <w:rFonts w:cs="华文楷体" w:asciiTheme="minorEastAsia" w:hAnsiTheme="minorEastAsia" w:eastAsiaTheme="minorEastAsia"/>
          <w:bCs/>
          <w:color w:val="000000" w:themeColor="text1"/>
          <w:sz w:val="24"/>
        </w:rPr>
      </w:pPr>
      <w:bookmarkStart w:id="9" w:name="_Hlk148512214"/>
      <w:r>
        <w:rPr>
          <w:rFonts w:hint="eastAsia" w:cs="华文楷体" w:asciiTheme="minorEastAsia" w:hAnsiTheme="minorEastAsia" w:eastAsiaTheme="minorEastAsia"/>
          <w:bCs/>
          <w:color w:val="000000" w:themeColor="text1"/>
          <w:sz w:val="24"/>
        </w:rPr>
        <w:t>备注：</w:t>
      </w:r>
    </w:p>
    <w:p w14:paraId="7B2B6151">
      <w:pPr>
        <w:spacing w:line="340" w:lineRule="exact"/>
        <w:rPr>
          <w:rFonts w:ascii="宋体" w:hAnsi="宋体" w:cs="宋体"/>
          <w:bCs/>
          <w:sz w:val="24"/>
        </w:rPr>
      </w:pPr>
      <w:r>
        <w:rPr>
          <w:rFonts w:hint="eastAsia" w:cs="华文楷体" w:asciiTheme="minorEastAsia" w:hAnsiTheme="minorEastAsia" w:eastAsiaTheme="minorEastAsia"/>
          <w:bCs/>
          <w:color w:val="000000" w:themeColor="text1"/>
          <w:sz w:val="24"/>
        </w:rPr>
        <w:t>1.报价包含了设备成本、运输、装卸、安装、调试、配合费、保质期内的服务、利润、税金和承担的风险等一切可能产生的费用。</w:t>
      </w:r>
      <w:r>
        <w:rPr>
          <w:rFonts w:hint="eastAsia" w:ascii="宋体" w:hAnsi="宋体" w:cs="宋体"/>
          <w:bCs/>
          <w:sz w:val="24"/>
        </w:rPr>
        <w:t>采购人不再支付报价以外的任何费用。</w:t>
      </w:r>
    </w:p>
    <w:p w14:paraId="112C9D9B">
      <w:pPr>
        <w:adjustRightInd w:val="0"/>
        <w:snapToGrid w:val="0"/>
        <w:spacing w:line="440" w:lineRule="exact"/>
        <w:ind w:right="29" w:rightChars="14"/>
        <w:jc w:val="left"/>
        <w:rPr>
          <w:rFonts w:ascii="宋体" w:hAnsi="宋体" w:cs="宋体"/>
          <w:bCs/>
          <w:sz w:val="24"/>
        </w:rPr>
      </w:pPr>
      <w:r>
        <w:rPr>
          <w:rFonts w:hint="eastAsia" w:ascii="宋体" w:hAnsi="宋体" w:cs="宋体"/>
          <w:bCs/>
          <w:sz w:val="24"/>
        </w:rPr>
        <w:t>2.报价大小写不一致以大写为准；</w:t>
      </w:r>
    </w:p>
    <w:p w14:paraId="49324E25">
      <w:pPr>
        <w:adjustRightInd w:val="0"/>
        <w:snapToGrid w:val="0"/>
        <w:spacing w:line="440" w:lineRule="exact"/>
        <w:ind w:right="29" w:rightChars="14"/>
        <w:jc w:val="left"/>
        <w:rPr>
          <w:rFonts w:ascii="宋体" w:hAnsi="宋体" w:cs="宋体"/>
          <w:sz w:val="24"/>
        </w:rPr>
      </w:pPr>
      <w:r>
        <w:rPr>
          <w:rFonts w:hint="eastAsia" w:ascii="宋体" w:hAnsi="宋体" w:cs="宋体"/>
          <w:sz w:val="24"/>
        </w:rPr>
        <w:t>3.偏离说明：详见《偏离表》。</w:t>
      </w:r>
    </w:p>
    <w:p w14:paraId="2F1CFD19">
      <w:pPr>
        <w:adjustRightInd w:val="0"/>
        <w:snapToGrid w:val="0"/>
        <w:spacing w:line="440" w:lineRule="exact"/>
        <w:ind w:right="29" w:rightChars="14"/>
        <w:jc w:val="center"/>
        <w:rPr>
          <w:rFonts w:ascii="宋体" w:hAnsi="宋体" w:cs="宋体"/>
          <w:sz w:val="24"/>
        </w:rPr>
      </w:pPr>
    </w:p>
    <w:p w14:paraId="0042A2B2">
      <w:pPr>
        <w:adjustRightInd w:val="0"/>
        <w:snapToGrid w:val="0"/>
        <w:spacing w:line="380" w:lineRule="exact"/>
        <w:ind w:right="29" w:rightChars="14" w:firstLine="3960" w:firstLineChars="1650"/>
        <w:rPr>
          <w:rFonts w:ascii="宋体" w:hAnsi="宋体" w:cs="宋体"/>
          <w:sz w:val="24"/>
        </w:rPr>
      </w:pPr>
      <w:r>
        <w:rPr>
          <w:rFonts w:hint="eastAsia" w:ascii="宋体" w:hAnsi="宋体" w:cs="宋体"/>
          <w:sz w:val="24"/>
        </w:rPr>
        <w:t>供应商（公章）：</w:t>
      </w:r>
    </w:p>
    <w:p w14:paraId="6CA772C5">
      <w:pPr>
        <w:adjustRightInd w:val="0"/>
        <w:snapToGrid w:val="0"/>
        <w:spacing w:line="380" w:lineRule="exact"/>
        <w:ind w:right="29" w:rightChars="14" w:firstLine="3960" w:firstLineChars="1650"/>
        <w:rPr>
          <w:rFonts w:ascii="宋体" w:hAnsi="宋体" w:cs="宋体"/>
          <w:sz w:val="24"/>
        </w:rPr>
      </w:pPr>
      <w:r>
        <w:rPr>
          <w:rFonts w:hint="eastAsia" w:ascii="宋体" w:hAnsi="宋体" w:cs="宋体"/>
          <w:sz w:val="24"/>
        </w:rPr>
        <w:t xml:space="preserve">法定代表人或授权代表（签字或盖章）：  </w:t>
      </w:r>
    </w:p>
    <w:p w14:paraId="20B683D1">
      <w:pPr>
        <w:adjustRightInd w:val="0"/>
        <w:snapToGrid w:val="0"/>
        <w:spacing w:line="380" w:lineRule="exact"/>
        <w:ind w:right="29" w:rightChars="14" w:firstLine="3960" w:firstLineChars="1650"/>
        <w:rPr>
          <w:rFonts w:ascii="宋体" w:hAnsi="宋体" w:cs="宋体"/>
          <w:sz w:val="24"/>
        </w:rPr>
      </w:pPr>
      <w:r>
        <w:rPr>
          <w:rFonts w:hint="eastAsia" w:ascii="宋体" w:hAnsi="宋体" w:cs="宋体"/>
          <w:sz w:val="24"/>
        </w:rPr>
        <w:t>日期：</w:t>
      </w:r>
    </w:p>
    <w:p w14:paraId="588D7D0D">
      <w:pPr>
        <w:pStyle w:val="6"/>
        <w:rPr>
          <w:rFonts w:cs="华文楷体" w:asciiTheme="minorEastAsia" w:hAnsiTheme="minorEastAsia" w:eastAsiaTheme="minorEastAsia"/>
          <w:b/>
          <w:color w:val="000000" w:themeColor="text1"/>
          <w:sz w:val="24"/>
        </w:rPr>
      </w:pPr>
    </w:p>
    <w:p w14:paraId="55559E86">
      <w:pPr>
        <w:pStyle w:val="21"/>
      </w:pPr>
    </w:p>
    <w:p w14:paraId="54507E26">
      <w:pPr>
        <w:pStyle w:val="23"/>
        <w:ind w:firstLine="480"/>
        <w:rPr>
          <w:rFonts w:hint="default"/>
        </w:rPr>
      </w:pPr>
    </w:p>
    <w:bookmarkEnd w:id="9"/>
    <w:p w14:paraId="6666EC7D">
      <w:pPr>
        <w:pStyle w:val="7"/>
        <w:ind w:left="0" w:firstLine="3012" w:firstLineChars="1000"/>
        <w:rPr>
          <w:sz w:val="30"/>
          <w:szCs w:val="30"/>
        </w:rPr>
      </w:pPr>
      <w:r>
        <w:rPr>
          <w:rFonts w:hint="eastAsia" w:cs="华文楷体" w:asciiTheme="minorEastAsia" w:hAnsiTheme="minorEastAsia" w:eastAsiaTheme="minorEastAsia"/>
          <w:b/>
          <w:color w:val="000000" w:themeColor="text1"/>
          <w:sz w:val="30"/>
          <w:szCs w:val="30"/>
        </w:rPr>
        <w:t>（三）</w:t>
      </w:r>
      <w:r>
        <w:rPr>
          <w:rFonts w:hint="eastAsia" w:cs="华文楷体" w:asciiTheme="minorEastAsia" w:hAnsiTheme="minorEastAsia" w:eastAsiaTheme="minorEastAsia"/>
          <w:b/>
          <w:color w:val="000000" w:themeColor="text1"/>
          <w:sz w:val="30"/>
          <w:szCs w:val="30"/>
          <w:lang w:val="en-US" w:eastAsia="zh-CN"/>
        </w:rPr>
        <w:t xml:space="preserve"> </w:t>
      </w:r>
      <w:r>
        <w:rPr>
          <w:rFonts w:hint="eastAsia" w:cs="华文楷体" w:asciiTheme="minorEastAsia" w:hAnsiTheme="minorEastAsia" w:eastAsiaTheme="minorEastAsia"/>
          <w:b/>
          <w:color w:val="000000" w:themeColor="text1"/>
          <w:sz w:val="30"/>
          <w:szCs w:val="30"/>
        </w:rPr>
        <w:t>磋商报价明细表</w:t>
      </w:r>
    </w:p>
    <w:p w14:paraId="6014A6CF">
      <w:pPr>
        <w:ind w:firstLine="410" w:firstLineChars="146"/>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磋商报价明细表由供应商自行编制，须体现该项目的分项价格明细。</w:t>
      </w:r>
    </w:p>
    <w:p w14:paraId="3F987139">
      <w:pPr>
        <w:ind w:firstLine="410" w:firstLineChars="146"/>
        <w:rPr>
          <w:rFonts w:hint="eastAsia" w:asciiTheme="minorEastAsia" w:hAnsiTheme="minorEastAsia" w:eastAsiaTheme="minorEastAsia"/>
          <w:b/>
          <w:sz w:val="28"/>
          <w:szCs w:val="28"/>
        </w:rPr>
      </w:pPr>
    </w:p>
    <w:p w14:paraId="4C1425E7">
      <w:pPr>
        <w:ind w:firstLine="410" w:firstLineChars="146"/>
        <w:rPr>
          <w:rFonts w:hint="eastAsia" w:asciiTheme="minorEastAsia" w:hAnsiTheme="minorEastAsia" w:eastAsiaTheme="minorEastAsia"/>
          <w:b/>
          <w:sz w:val="28"/>
          <w:szCs w:val="28"/>
        </w:rPr>
      </w:pPr>
    </w:p>
    <w:p w14:paraId="2709BB05">
      <w:pPr>
        <w:spacing w:line="400" w:lineRule="exact"/>
        <w:rPr>
          <w:rFonts w:cs="华文楷体" w:asciiTheme="minorEastAsia" w:hAnsiTheme="minorEastAsia" w:eastAsiaTheme="minorEastAsia"/>
          <w:b/>
          <w:color w:val="000000" w:themeColor="text1"/>
          <w:sz w:val="24"/>
        </w:rPr>
      </w:pPr>
    </w:p>
    <w:p w14:paraId="18035B12">
      <w:pPr>
        <w:pStyle w:val="14"/>
        <w:numPr>
          <w:ilvl w:val="0"/>
          <w:numId w:val="7"/>
        </w:numPr>
        <w:spacing w:after="0" w:line="400" w:lineRule="exact"/>
        <w:ind w:left="0" w:leftChars="0" w:firstLine="0" w:firstLineChars="0"/>
        <w:rPr>
          <w:rFonts w:hint="eastAsia" w:asciiTheme="minorEastAsia" w:hAnsiTheme="minorEastAsia" w:eastAsiaTheme="minorEastAsia"/>
          <w:b/>
          <w:sz w:val="30"/>
          <w:szCs w:val="30"/>
        </w:rPr>
      </w:pPr>
      <w:r>
        <w:rPr>
          <w:rFonts w:hint="eastAsia" w:asciiTheme="minorEastAsia" w:hAnsiTheme="minorEastAsia" w:eastAsiaTheme="minorEastAsia"/>
          <w:b/>
          <w:sz w:val="30"/>
          <w:szCs w:val="30"/>
        </w:rPr>
        <w:t>供应商主要业绩一览表（</w:t>
      </w:r>
      <w:bookmarkStart w:id="10" w:name="_Hlk97887590"/>
      <w:r>
        <w:rPr>
          <w:rFonts w:hint="eastAsia" w:asciiTheme="minorEastAsia" w:hAnsiTheme="minorEastAsia" w:eastAsiaTheme="minorEastAsia"/>
          <w:b/>
          <w:sz w:val="30"/>
          <w:szCs w:val="30"/>
        </w:rPr>
        <w:t>2021年10月1日以来类似业绩</w:t>
      </w:r>
      <w:bookmarkEnd w:id="10"/>
      <w:r>
        <w:rPr>
          <w:rFonts w:hint="eastAsia" w:asciiTheme="minorEastAsia" w:hAnsiTheme="minorEastAsia" w:eastAsiaTheme="minorEastAsia"/>
          <w:b/>
          <w:sz w:val="30"/>
          <w:szCs w:val="30"/>
        </w:rPr>
        <w:t>）</w:t>
      </w:r>
    </w:p>
    <w:p w14:paraId="065D7B6F">
      <w:pPr>
        <w:pStyle w:val="14"/>
        <w:numPr>
          <w:numId w:val="0"/>
        </w:numPr>
        <w:spacing w:after="0" w:line="400" w:lineRule="exact"/>
        <w:ind w:leftChars="0"/>
        <w:rPr>
          <w:rFonts w:hint="eastAsia" w:asciiTheme="minorEastAsia" w:hAnsiTheme="minorEastAsia" w:eastAsiaTheme="minorEastAsia"/>
          <w:b/>
          <w:sz w:val="30"/>
          <w:szCs w:val="30"/>
        </w:rPr>
      </w:pPr>
    </w:p>
    <w:p w14:paraId="6421E7B6">
      <w:pPr>
        <w:pStyle w:val="14"/>
        <w:spacing w:after="0" w:line="400" w:lineRule="exact"/>
        <w:ind w:firstLine="0" w:firstLineChars="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供应商名称：</w:t>
      </w:r>
    </w:p>
    <w:p w14:paraId="3202400F">
      <w:pPr>
        <w:pStyle w:val="14"/>
        <w:spacing w:after="0" w:line="400" w:lineRule="exact"/>
        <w:ind w:firstLine="0" w:firstLineChars="0"/>
        <w:rPr>
          <w:rFonts w:hint="eastAsia" w:asciiTheme="minorEastAsia" w:hAnsiTheme="minorEastAsia" w:eastAsiaTheme="minorEastAsia"/>
          <w:sz w:val="28"/>
          <w:szCs w:val="28"/>
        </w:rPr>
      </w:pPr>
    </w:p>
    <w:tbl>
      <w:tblPr>
        <w:tblStyle w:val="15"/>
        <w:tblW w:w="1003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2"/>
        <w:gridCol w:w="1870"/>
        <w:gridCol w:w="2565"/>
        <w:gridCol w:w="1376"/>
        <w:gridCol w:w="2099"/>
        <w:gridCol w:w="1275"/>
      </w:tblGrid>
      <w:tr w14:paraId="40CF0E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6" w:hRule="atLeast"/>
          <w:jc w:val="center"/>
        </w:trPr>
        <w:tc>
          <w:tcPr>
            <w:tcW w:w="852" w:type="dxa"/>
            <w:vAlign w:val="center"/>
          </w:tcPr>
          <w:p w14:paraId="372AF1EE">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1870" w:type="dxa"/>
            <w:vAlign w:val="center"/>
          </w:tcPr>
          <w:p w14:paraId="1467B7A8">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项目名称</w:t>
            </w:r>
          </w:p>
        </w:tc>
        <w:tc>
          <w:tcPr>
            <w:tcW w:w="2565" w:type="dxa"/>
            <w:vAlign w:val="center"/>
          </w:tcPr>
          <w:p w14:paraId="60688869">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地点</w:t>
            </w:r>
          </w:p>
        </w:tc>
        <w:tc>
          <w:tcPr>
            <w:tcW w:w="1376" w:type="dxa"/>
            <w:vAlign w:val="center"/>
          </w:tcPr>
          <w:p w14:paraId="3DDC1B02">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 xml:space="preserve"> 合同金额</w:t>
            </w:r>
          </w:p>
        </w:tc>
        <w:tc>
          <w:tcPr>
            <w:tcW w:w="2099" w:type="dxa"/>
          </w:tcPr>
          <w:p w14:paraId="77AD61C9">
            <w:pPr>
              <w:spacing w:line="400" w:lineRule="exact"/>
              <w:rPr>
                <w:rFonts w:asciiTheme="minorEastAsia" w:hAnsiTheme="minorEastAsia" w:eastAsiaTheme="minorEastAsia"/>
                <w:sz w:val="24"/>
              </w:rPr>
            </w:pPr>
            <w:r>
              <w:rPr>
                <w:rFonts w:hint="eastAsia" w:asciiTheme="minorEastAsia" w:hAnsiTheme="minorEastAsia" w:eastAsiaTheme="minorEastAsia"/>
                <w:sz w:val="24"/>
              </w:rPr>
              <w:t>业绩时间（年）</w:t>
            </w:r>
          </w:p>
        </w:tc>
        <w:tc>
          <w:tcPr>
            <w:tcW w:w="1275" w:type="dxa"/>
            <w:vAlign w:val="center"/>
          </w:tcPr>
          <w:p w14:paraId="7C73DEDD">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14:paraId="74CA8C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852" w:type="dxa"/>
          </w:tcPr>
          <w:p w14:paraId="254E23D8">
            <w:pPr>
              <w:spacing w:line="400" w:lineRule="exact"/>
              <w:ind w:firstLine="482" w:firstLineChars="200"/>
              <w:rPr>
                <w:rFonts w:asciiTheme="minorEastAsia" w:hAnsiTheme="minorEastAsia" w:eastAsiaTheme="minorEastAsia"/>
                <w:b/>
                <w:sz w:val="24"/>
              </w:rPr>
            </w:pPr>
          </w:p>
        </w:tc>
        <w:tc>
          <w:tcPr>
            <w:tcW w:w="1870" w:type="dxa"/>
          </w:tcPr>
          <w:p w14:paraId="3CC1DBAE">
            <w:pPr>
              <w:spacing w:line="400" w:lineRule="exact"/>
              <w:ind w:firstLine="482" w:firstLineChars="200"/>
              <w:rPr>
                <w:rFonts w:asciiTheme="minorEastAsia" w:hAnsiTheme="minorEastAsia" w:eastAsiaTheme="minorEastAsia"/>
                <w:b/>
                <w:sz w:val="24"/>
              </w:rPr>
            </w:pPr>
          </w:p>
        </w:tc>
        <w:tc>
          <w:tcPr>
            <w:tcW w:w="2565" w:type="dxa"/>
          </w:tcPr>
          <w:p w14:paraId="4D63200B">
            <w:pPr>
              <w:spacing w:line="400" w:lineRule="exact"/>
              <w:ind w:firstLine="482" w:firstLineChars="200"/>
              <w:rPr>
                <w:rFonts w:asciiTheme="minorEastAsia" w:hAnsiTheme="minorEastAsia" w:eastAsiaTheme="minorEastAsia"/>
                <w:b/>
                <w:sz w:val="24"/>
              </w:rPr>
            </w:pPr>
          </w:p>
        </w:tc>
        <w:tc>
          <w:tcPr>
            <w:tcW w:w="1376" w:type="dxa"/>
          </w:tcPr>
          <w:p w14:paraId="783D89C3">
            <w:pPr>
              <w:spacing w:line="400" w:lineRule="exact"/>
              <w:ind w:firstLine="482" w:firstLineChars="200"/>
              <w:rPr>
                <w:rFonts w:asciiTheme="minorEastAsia" w:hAnsiTheme="minorEastAsia" w:eastAsiaTheme="minorEastAsia"/>
                <w:b/>
                <w:sz w:val="24"/>
              </w:rPr>
            </w:pPr>
          </w:p>
        </w:tc>
        <w:tc>
          <w:tcPr>
            <w:tcW w:w="2099" w:type="dxa"/>
          </w:tcPr>
          <w:p w14:paraId="5D05E97C">
            <w:pPr>
              <w:spacing w:line="400" w:lineRule="exact"/>
              <w:ind w:firstLine="482" w:firstLineChars="200"/>
              <w:rPr>
                <w:rFonts w:asciiTheme="minorEastAsia" w:hAnsiTheme="minorEastAsia" w:eastAsiaTheme="minorEastAsia"/>
                <w:b/>
                <w:sz w:val="24"/>
              </w:rPr>
            </w:pPr>
          </w:p>
        </w:tc>
        <w:tc>
          <w:tcPr>
            <w:tcW w:w="1275" w:type="dxa"/>
          </w:tcPr>
          <w:p w14:paraId="0C23D573">
            <w:pPr>
              <w:spacing w:line="400" w:lineRule="exact"/>
              <w:ind w:firstLine="482" w:firstLineChars="200"/>
              <w:rPr>
                <w:rFonts w:asciiTheme="minorEastAsia" w:hAnsiTheme="minorEastAsia" w:eastAsiaTheme="minorEastAsia"/>
                <w:b/>
                <w:sz w:val="24"/>
              </w:rPr>
            </w:pPr>
          </w:p>
        </w:tc>
      </w:tr>
      <w:tr w14:paraId="36A1D4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852" w:type="dxa"/>
          </w:tcPr>
          <w:p w14:paraId="28BF2927">
            <w:pPr>
              <w:spacing w:line="400" w:lineRule="exact"/>
              <w:ind w:firstLine="482" w:firstLineChars="200"/>
              <w:rPr>
                <w:rFonts w:asciiTheme="minorEastAsia" w:hAnsiTheme="minorEastAsia" w:eastAsiaTheme="minorEastAsia"/>
                <w:b/>
                <w:sz w:val="24"/>
              </w:rPr>
            </w:pPr>
          </w:p>
        </w:tc>
        <w:tc>
          <w:tcPr>
            <w:tcW w:w="1870" w:type="dxa"/>
          </w:tcPr>
          <w:p w14:paraId="316CF56E">
            <w:pPr>
              <w:spacing w:line="400" w:lineRule="exact"/>
              <w:ind w:firstLine="482" w:firstLineChars="200"/>
              <w:rPr>
                <w:rFonts w:asciiTheme="minorEastAsia" w:hAnsiTheme="minorEastAsia" w:eastAsiaTheme="minorEastAsia"/>
                <w:b/>
                <w:sz w:val="24"/>
              </w:rPr>
            </w:pPr>
          </w:p>
        </w:tc>
        <w:tc>
          <w:tcPr>
            <w:tcW w:w="2565" w:type="dxa"/>
          </w:tcPr>
          <w:p w14:paraId="3987DDF0">
            <w:pPr>
              <w:spacing w:line="400" w:lineRule="exact"/>
              <w:ind w:firstLine="482" w:firstLineChars="200"/>
              <w:rPr>
                <w:rFonts w:asciiTheme="minorEastAsia" w:hAnsiTheme="minorEastAsia" w:eastAsiaTheme="minorEastAsia"/>
                <w:b/>
                <w:sz w:val="24"/>
              </w:rPr>
            </w:pPr>
          </w:p>
        </w:tc>
        <w:tc>
          <w:tcPr>
            <w:tcW w:w="1376" w:type="dxa"/>
          </w:tcPr>
          <w:p w14:paraId="5331089F">
            <w:pPr>
              <w:spacing w:line="400" w:lineRule="exact"/>
              <w:ind w:firstLine="482" w:firstLineChars="200"/>
              <w:rPr>
                <w:rFonts w:asciiTheme="minorEastAsia" w:hAnsiTheme="minorEastAsia" w:eastAsiaTheme="minorEastAsia"/>
                <w:b/>
                <w:sz w:val="24"/>
              </w:rPr>
            </w:pPr>
          </w:p>
        </w:tc>
        <w:tc>
          <w:tcPr>
            <w:tcW w:w="2099" w:type="dxa"/>
          </w:tcPr>
          <w:p w14:paraId="2F4DF440">
            <w:pPr>
              <w:spacing w:line="400" w:lineRule="exact"/>
              <w:ind w:firstLine="482" w:firstLineChars="200"/>
              <w:rPr>
                <w:rFonts w:asciiTheme="minorEastAsia" w:hAnsiTheme="minorEastAsia" w:eastAsiaTheme="minorEastAsia"/>
                <w:b/>
                <w:sz w:val="24"/>
              </w:rPr>
            </w:pPr>
          </w:p>
        </w:tc>
        <w:tc>
          <w:tcPr>
            <w:tcW w:w="1275" w:type="dxa"/>
          </w:tcPr>
          <w:p w14:paraId="3865C2FA">
            <w:pPr>
              <w:spacing w:line="400" w:lineRule="exact"/>
              <w:ind w:firstLine="482" w:firstLineChars="200"/>
              <w:rPr>
                <w:rFonts w:asciiTheme="minorEastAsia" w:hAnsiTheme="minorEastAsia" w:eastAsiaTheme="minorEastAsia"/>
                <w:b/>
                <w:sz w:val="24"/>
              </w:rPr>
            </w:pPr>
          </w:p>
        </w:tc>
      </w:tr>
      <w:tr w14:paraId="64F53B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852" w:type="dxa"/>
          </w:tcPr>
          <w:p w14:paraId="4247C266">
            <w:pPr>
              <w:spacing w:line="400" w:lineRule="exact"/>
              <w:ind w:firstLine="482" w:firstLineChars="200"/>
              <w:rPr>
                <w:rFonts w:asciiTheme="minorEastAsia" w:hAnsiTheme="minorEastAsia" w:eastAsiaTheme="minorEastAsia"/>
                <w:b/>
                <w:sz w:val="24"/>
              </w:rPr>
            </w:pPr>
          </w:p>
        </w:tc>
        <w:tc>
          <w:tcPr>
            <w:tcW w:w="1870" w:type="dxa"/>
          </w:tcPr>
          <w:p w14:paraId="1353DFA5">
            <w:pPr>
              <w:spacing w:line="400" w:lineRule="exact"/>
              <w:ind w:firstLine="482" w:firstLineChars="200"/>
              <w:rPr>
                <w:rFonts w:asciiTheme="minorEastAsia" w:hAnsiTheme="minorEastAsia" w:eastAsiaTheme="minorEastAsia"/>
                <w:b/>
                <w:sz w:val="24"/>
              </w:rPr>
            </w:pPr>
          </w:p>
        </w:tc>
        <w:tc>
          <w:tcPr>
            <w:tcW w:w="2565" w:type="dxa"/>
          </w:tcPr>
          <w:p w14:paraId="2B4C131A">
            <w:pPr>
              <w:spacing w:line="400" w:lineRule="exact"/>
              <w:ind w:firstLine="482" w:firstLineChars="200"/>
              <w:rPr>
                <w:rFonts w:asciiTheme="minorEastAsia" w:hAnsiTheme="minorEastAsia" w:eastAsiaTheme="minorEastAsia"/>
                <w:b/>
                <w:sz w:val="24"/>
              </w:rPr>
            </w:pPr>
          </w:p>
        </w:tc>
        <w:tc>
          <w:tcPr>
            <w:tcW w:w="1376" w:type="dxa"/>
          </w:tcPr>
          <w:p w14:paraId="52D9465C">
            <w:pPr>
              <w:spacing w:line="400" w:lineRule="exact"/>
              <w:ind w:firstLine="482" w:firstLineChars="200"/>
              <w:rPr>
                <w:rFonts w:asciiTheme="minorEastAsia" w:hAnsiTheme="minorEastAsia" w:eastAsiaTheme="minorEastAsia"/>
                <w:b/>
                <w:sz w:val="24"/>
              </w:rPr>
            </w:pPr>
          </w:p>
        </w:tc>
        <w:tc>
          <w:tcPr>
            <w:tcW w:w="2099" w:type="dxa"/>
          </w:tcPr>
          <w:p w14:paraId="09AB017C">
            <w:pPr>
              <w:spacing w:line="400" w:lineRule="exact"/>
              <w:ind w:firstLine="482" w:firstLineChars="200"/>
              <w:rPr>
                <w:rFonts w:asciiTheme="minorEastAsia" w:hAnsiTheme="minorEastAsia" w:eastAsiaTheme="minorEastAsia"/>
                <w:b/>
                <w:sz w:val="24"/>
              </w:rPr>
            </w:pPr>
          </w:p>
        </w:tc>
        <w:tc>
          <w:tcPr>
            <w:tcW w:w="1275" w:type="dxa"/>
          </w:tcPr>
          <w:p w14:paraId="29E64A6E">
            <w:pPr>
              <w:spacing w:line="400" w:lineRule="exact"/>
              <w:ind w:firstLine="482" w:firstLineChars="200"/>
              <w:rPr>
                <w:rFonts w:asciiTheme="minorEastAsia" w:hAnsiTheme="minorEastAsia" w:eastAsiaTheme="minorEastAsia"/>
                <w:b/>
                <w:sz w:val="24"/>
              </w:rPr>
            </w:pPr>
          </w:p>
        </w:tc>
      </w:tr>
      <w:tr w14:paraId="26EA5A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852" w:type="dxa"/>
          </w:tcPr>
          <w:p w14:paraId="717D610B">
            <w:pPr>
              <w:spacing w:line="400" w:lineRule="exact"/>
              <w:ind w:firstLine="482" w:firstLineChars="200"/>
              <w:rPr>
                <w:rFonts w:asciiTheme="minorEastAsia" w:hAnsiTheme="minorEastAsia" w:eastAsiaTheme="minorEastAsia"/>
                <w:b/>
                <w:sz w:val="24"/>
              </w:rPr>
            </w:pPr>
          </w:p>
        </w:tc>
        <w:tc>
          <w:tcPr>
            <w:tcW w:w="1870" w:type="dxa"/>
          </w:tcPr>
          <w:p w14:paraId="2D760EC8">
            <w:pPr>
              <w:spacing w:line="400" w:lineRule="exact"/>
              <w:ind w:firstLine="482" w:firstLineChars="200"/>
              <w:rPr>
                <w:rFonts w:asciiTheme="minorEastAsia" w:hAnsiTheme="minorEastAsia" w:eastAsiaTheme="minorEastAsia"/>
                <w:b/>
                <w:sz w:val="24"/>
              </w:rPr>
            </w:pPr>
          </w:p>
        </w:tc>
        <w:tc>
          <w:tcPr>
            <w:tcW w:w="2565" w:type="dxa"/>
          </w:tcPr>
          <w:p w14:paraId="1EDB1F48">
            <w:pPr>
              <w:spacing w:line="400" w:lineRule="exact"/>
              <w:ind w:firstLine="482" w:firstLineChars="200"/>
              <w:rPr>
                <w:rFonts w:asciiTheme="minorEastAsia" w:hAnsiTheme="minorEastAsia" w:eastAsiaTheme="minorEastAsia"/>
                <w:b/>
                <w:sz w:val="24"/>
              </w:rPr>
            </w:pPr>
          </w:p>
        </w:tc>
        <w:tc>
          <w:tcPr>
            <w:tcW w:w="1376" w:type="dxa"/>
          </w:tcPr>
          <w:p w14:paraId="0846AEF3">
            <w:pPr>
              <w:spacing w:line="400" w:lineRule="exact"/>
              <w:ind w:firstLine="482" w:firstLineChars="200"/>
              <w:rPr>
                <w:rFonts w:asciiTheme="minorEastAsia" w:hAnsiTheme="minorEastAsia" w:eastAsiaTheme="minorEastAsia"/>
                <w:b/>
                <w:sz w:val="24"/>
              </w:rPr>
            </w:pPr>
          </w:p>
        </w:tc>
        <w:tc>
          <w:tcPr>
            <w:tcW w:w="2099" w:type="dxa"/>
          </w:tcPr>
          <w:p w14:paraId="4C67E56F">
            <w:pPr>
              <w:spacing w:line="400" w:lineRule="exact"/>
              <w:ind w:firstLine="482" w:firstLineChars="200"/>
              <w:rPr>
                <w:rFonts w:asciiTheme="minorEastAsia" w:hAnsiTheme="minorEastAsia" w:eastAsiaTheme="minorEastAsia"/>
                <w:b/>
                <w:sz w:val="24"/>
              </w:rPr>
            </w:pPr>
          </w:p>
        </w:tc>
        <w:tc>
          <w:tcPr>
            <w:tcW w:w="1275" w:type="dxa"/>
          </w:tcPr>
          <w:p w14:paraId="1481064F">
            <w:pPr>
              <w:spacing w:line="400" w:lineRule="exact"/>
              <w:ind w:firstLine="482" w:firstLineChars="200"/>
              <w:rPr>
                <w:rFonts w:asciiTheme="minorEastAsia" w:hAnsiTheme="minorEastAsia" w:eastAsiaTheme="minorEastAsia"/>
                <w:b/>
                <w:sz w:val="24"/>
              </w:rPr>
            </w:pPr>
          </w:p>
        </w:tc>
      </w:tr>
      <w:tr w14:paraId="1EA761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852" w:type="dxa"/>
          </w:tcPr>
          <w:p w14:paraId="1A1A596E">
            <w:pPr>
              <w:spacing w:line="400" w:lineRule="exact"/>
              <w:ind w:firstLine="482" w:firstLineChars="200"/>
              <w:rPr>
                <w:rFonts w:asciiTheme="minorEastAsia" w:hAnsiTheme="minorEastAsia" w:eastAsiaTheme="minorEastAsia"/>
                <w:b/>
                <w:sz w:val="24"/>
              </w:rPr>
            </w:pPr>
          </w:p>
        </w:tc>
        <w:tc>
          <w:tcPr>
            <w:tcW w:w="1870" w:type="dxa"/>
          </w:tcPr>
          <w:p w14:paraId="214D7763">
            <w:pPr>
              <w:spacing w:line="400" w:lineRule="exact"/>
              <w:ind w:firstLine="482" w:firstLineChars="200"/>
              <w:rPr>
                <w:rFonts w:asciiTheme="minorEastAsia" w:hAnsiTheme="minorEastAsia" w:eastAsiaTheme="minorEastAsia"/>
                <w:b/>
                <w:sz w:val="24"/>
              </w:rPr>
            </w:pPr>
          </w:p>
        </w:tc>
        <w:tc>
          <w:tcPr>
            <w:tcW w:w="2565" w:type="dxa"/>
          </w:tcPr>
          <w:p w14:paraId="73952F60">
            <w:pPr>
              <w:spacing w:line="400" w:lineRule="exact"/>
              <w:ind w:firstLine="482" w:firstLineChars="200"/>
              <w:rPr>
                <w:rFonts w:asciiTheme="minorEastAsia" w:hAnsiTheme="minorEastAsia" w:eastAsiaTheme="minorEastAsia"/>
                <w:b/>
                <w:sz w:val="24"/>
              </w:rPr>
            </w:pPr>
          </w:p>
        </w:tc>
        <w:tc>
          <w:tcPr>
            <w:tcW w:w="1376" w:type="dxa"/>
          </w:tcPr>
          <w:p w14:paraId="063D4E47">
            <w:pPr>
              <w:spacing w:line="400" w:lineRule="exact"/>
              <w:ind w:firstLine="482" w:firstLineChars="200"/>
              <w:rPr>
                <w:rFonts w:asciiTheme="minorEastAsia" w:hAnsiTheme="minorEastAsia" w:eastAsiaTheme="minorEastAsia"/>
                <w:b/>
                <w:sz w:val="24"/>
              </w:rPr>
            </w:pPr>
          </w:p>
        </w:tc>
        <w:tc>
          <w:tcPr>
            <w:tcW w:w="2099" w:type="dxa"/>
          </w:tcPr>
          <w:p w14:paraId="36058468">
            <w:pPr>
              <w:spacing w:line="400" w:lineRule="exact"/>
              <w:ind w:firstLine="482" w:firstLineChars="200"/>
              <w:rPr>
                <w:rFonts w:asciiTheme="minorEastAsia" w:hAnsiTheme="minorEastAsia" w:eastAsiaTheme="minorEastAsia"/>
                <w:b/>
                <w:sz w:val="24"/>
              </w:rPr>
            </w:pPr>
          </w:p>
        </w:tc>
        <w:tc>
          <w:tcPr>
            <w:tcW w:w="1275" w:type="dxa"/>
          </w:tcPr>
          <w:p w14:paraId="44E47C1A">
            <w:pPr>
              <w:spacing w:line="400" w:lineRule="exact"/>
              <w:ind w:firstLine="482" w:firstLineChars="200"/>
              <w:rPr>
                <w:rFonts w:asciiTheme="minorEastAsia" w:hAnsiTheme="minorEastAsia" w:eastAsiaTheme="minorEastAsia"/>
                <w:b/>
                <w:sz w:val="24"/>
              </w:rPr>
            </w:pPr>
          </w:p>
        </w:tc>
      </w:tr>
      <w:tr w14:paraId="619A3B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852" w:type="dxa"/>
          </w:tcPr>
          <w:p w14:paraId="3121193F">
            <w:pPr>
              <w:spacing w:line="400" w:lineRule="exact"/>
              <w:ind w:firstLine="482" w:firstLineChars="200"/>
              <w:rPr>
                <w:rFonts w:asciiTheme="minorEastAsia" w:hAnsiTheme="minorEastAsia" w:eastAsiaTheme="minorEastAsia"/>
                <w:b/>
                <w:sz w:val="24"/>
              </w:rPr>
            </w:pPr>
          </w:p>
        </w:tc>
        <w:tc>
          <w:tcPr>
            <w:tcW w:w="1870" w:type="dxa"/>
          </w:tcPr>
          <w:p w14:paraId="0511F0B3">
            <w:pPr>
              <w:spacing w:line="400" w:lineRule="exact"/>
              <w:ind w:firstLine="482" w:firstLineChars="200"/>
              <w:rPr>
                <w:rFonts w:asciiTheme="minorEastAsia" w:hAnsiTheme="minorEastAsia" w:eastAsiaTheme="minorEastAsia"/>
                <w:b/>
                <w:sz w:val="24"/>
              </w:rPr>
            </w:pPr>
          </w:p>
        </w:tc>
        <w:tc>
          <w:tcPr>
            <w:tcW w:w="2565" w:type="dxa"/>
          </w:tcPr>
          <w:p w14:paraId="0F17B0FC">
            <w:pPr>
              <w:spacing w:line="400" w:lineRule="exact"/>
              <w:ind w:firstLine="482" w:firstLineChars="200"/>
              <w:rPr>
                <w:rFonts w:asciiTheme="minorEastAsia" w:hAnsiTheme="minorEastAsia" w:eastAsiaTheme="minorEastAsia"/>
                <w:b/>
                <w:sz w:val="24"/>
              </w:rPr>
            </w:pPr>
          </w:p>
        </w:tc>
        <w:tc>
          <w:tcPr>
            <w:tcW w:w="1376" w:type="dxa"/>
          </w:tcPr>
          <w:p w14:paraId="256C158E">
            <w:pPr>
              <w:spacing w:line="400" w:lineRule="exact"/>
              <w:ind w:firstLine="482" w:firstLineChars="200"/>
              <w:rPr>
                <w:rFonts w:asciiTheme="minorEastAsia" w:hAnsiTheme="minorEastAsia" w:eastAsiaTheme="minorEastAsia"/>
                <w:b/>
                <w:sz w:val="24"/>
              </w:rPr>
            </w:pPr>
          </w:p>
        </w:tc>
        <w:tc>
          <w:tcPr>
            <w:tcW w:w="2099" w:type="dxa"/>
          </w:tcPr>
          <w:p w14:paraId="5595D8E4">
            <w:pPr>
              <w:spacing w:line="400" w:lineRule="exact"/>
              <w:ind w:firstLine="482" w:firstLineChars="200"/>
              <w:rPr>
                <w:rFonts w:asciiTheme="minorEastAsia" w:hAnsiTheme="minorEastAsia" w:eastAsiaTheme="minorEastAsia"/>
                <w:b/>
                <w:sz w:val="24"/>
              </w:rPr>
            </w:pPr>
          </w:p>
        </w:tc>
        <w:tc>
          <w:tcPr>
            <w:tcW w:w="1275" w:type="dxa"/>
          </w:tcPr>
          <w:p w14:paraId="3969A235">
            <w:pPr>
              <w:spacing w:line="400" w:lineRule="exact"/>
              <w:ind w:firstLine="482" w:firstLineChars="200"/>
              <w:rPr>
                <w:rFonts w:asciiTheme="minorEastAsia" w:hAnsiTheme="minorEastAsia" w:eastAsiaTheme="minorEastAsia"/>
                <w:b/>
                <w:sz w:val="24"/>
              </w:rPr>
            </w:pPr>
          </w:p>
        </w:tc>
      </w:tr>
    </w:tbl>
    <w:p w14:paraId="1CF3E8AB">
      <w:pPr>
        <w:ind w:left="470" w:hanging="470" w:hangingChars="196"/>
        <w:rPr>
          <w:rFonts w:hint="eastAsia" w:ascii="宋体" w:hAnsi="宋体" w:cs="华文楷体"/>
          <w:bCs/>
          <w:sz w:val="24"/>
        </w:rPr>
      </w:pPr>
    </w:p>
    <w:p w14:paraId="0D8A10F3">
      <w:pPr>
        <w:ind w:left="470" w:hanging="548" w:hangingChars="196"/>
        <w:rPr>
          <w:rFonts w:ascii="宋体" w:hAnsi="宋体" w:cs="华文楷体"/>
          <w:bCs/>
          <w:sz w:val="28"/>
          <w:szCs w:val="28"/>
        </w:rPr>
      </w:pPr>
      <w:r>
        <w:rPr>
          <w:rFonts w:hint="eastAsia" w:ascii="宋体" w:hAnsi="宋体" w:cs="华文楷体"/>
          <w:bCs/>
          <w:sz w:val="28"/>
          <w:szCs w:val="28"/>
        </w:rPr>
        <w:t>供应商（公章）：</w:t>
      </w:r>
    </w:p>
    <w:p w14:paraId="1339AC47">
      <w:pPr>
        <w:ind w:left="470" w:hanging="548" w:hangingChars="196"/>
        <w:rPr>
          <w:rFonts w:ascii="宋体" w:hAnsi="宋体" w:cs="华文楷体"/>
          <w:bCs/>
          <w:sz w:val="28"/>
          <w:szCs w:val="28"/>
        </w:rPr>
      </w:pPr>
      <w:r>
        <w:rPr>
          <w:rFonts w:hint="eastAsia" w:ascii="宋体" w:hAnsi="宋体" w:cs="华文楷体"/>
          <w:bCs/>
          <w:sz w:val="28"/>
          <w:szCs w:val="28"/>
        </w:rPr>
        <w:t xml:space="preserve">法定代表人或授权代表（签字或盖章）： </w:t>
      </w:r>
    </w:p>
    <w:p w14:paraId="53BE7E1C">
      <w:pPr>
        <w:ind w:left="470" w:hanging="548" w:hangingChars="196"/>
        <w:rPr>
          <w:rFonts w:ascii="宋体" w:hAnsi="宋体" w:cs="华文楷体"/>
          <w:bCs/>
          <w:sz w:val="28"/>
          <w:szCs w:val="28"/>
        </w:rPr>
      </w:pPr>
      <w:r>
        <w:rPr>
          <w:rFonts w:hint="eastAsia" w:ascii="宋体" w:hAnsi="宋体" w:cs="华文楷体"/>
          <w:bCs/>
          <w:sz w:val="28"/>
          <w:szCs w:val="28"/>
        </w:rPr>
        <w:t>日    期：   年   月   日</w:t>
      </w:r>
    </w:p>
    <w:p w14:paraId="45D53F7A">
      <w:pPr>
        <w:pStyle w:val="14"/>
        <w:spacing w:after="0" w:line="400" w:lineRule="exact"/>
        <w:ind w:firstLine="480" w:firstLineChars="200"/>
        <w:rPr>
          <w:rFonts w:asciiTheme="minorEastAsia" w:hAnsiTheme="minorEastAsia" w:eastAsiaTheme="minorEastAsia"/>
          <w:sz w:val="24"/>
          <w:szCs w:val="24"/>
        </w:rPr>
      </w:pPr>
    </w:p>
    <w:p w14:paraId="70BE8015">
      <w:pPr>
        <w:widowControl/>
        <w:jc w:val="left"/>
        <w:rPr>
          <w:rFonts w:cs="华文楷体" w:asciiTheme="minorEastAsia" w:hAnsiTheme="minorEastAsia" w:eastAsiaTheme="minorEastAsia"/>
          <w:b/>
          <w:color w:val="000000" w:themeColor="text1"/>
          <w:sz w:val="24"/>
        </w:rPr>
      </w:pPr>
    </w:p>
    <w:p w14:paraId="179A7F76">
      <w:pPr>
        <w:widowControl/>
        <w:jc w:val="left"/>
        <w:rPr>
          <w:rFonts w:cs="华文楷体" w:asciiTheme="minorEastAsia" w:hAnsiTheme="minorEastAsia" w:eastAsiaTheme="minorEastAsia"/>
          <w:b/>
          <w:color w:val="000000" w:themeColor="text1"/>
          <w:sz w:val="24"/>
        </w:rPr>
      </w:pPr>
    </w:p>
    <w:p w14:paraId="466FD04D">
      <w:pPr>
        <w:widowControl/>
        <w:jc w:val="left"/>
        <w:rPr>
          <w:rFonts w:cs="华文楷体" w:asciiTheme="minorEastAsia" w:hAnsiTheme="minorEastAsia" w:eastAsiaTheme="minorEastAsia"/>
          <w:b/>
          <w:color w:val="000000" w:themeColor="text1"/>
          <w:sz w:val="24"/>
        </w:rPr>
      </w:pPr>
    </w:p>
    <w:p w14:paraId="0A23D536">
      <w:pPr>
        <w:widowControl/>
        <w:jc w:val="left"/>
        <w:rPr>
          <w:rFonts w:cs="华文楷体" w:asciiTheme="minorEastAsia" w:hAnsiTheme="minorEastAsia" w:eastAsiaTheme="minorEastAsia"/>
          <w:b/>
          <w:color w:val="000000" w:themeColor="text1"/>
          <w:sz w:val="24"/>
        </w:rPr>
      </w:pPr>
    </w:p>
    <w:p w14:paraId="539F592F">
      <w:pPr>
        <w:widowControl/>
        <w:jc w:val="left"/>
        <w:rPr>
          <w:rFonts w:cs="华文楷体" w:asciiTheme="minorEastAsia" w:hAnsiTheme="minorEastAsia" w:eastAsiaTheme="minorEastAsia"/>
          <w:b/>
          <w:color w:val="000000" w:themeColor="text1"/>
          <w:sz w:val="24"/>
        </w:rPr>
      </w:pPr>
    </w:p>
    <w:p w14:paraId="5AE9C24E">
      <w:pPr>
        <w:widowControl/>
        <w:jc w:val="left"/>
        <w:rPr>
          <w:rFonts w:cs="华文楷体" w:asciiTheme="minorEastAsia" w:hAnsiTheme="minorEastAsia" w:eastAsiaTheme="minorEastAsia"/>
          <w:b/>
          <w:color w:val="000000" w:themeColor="text1"/>
          <w:sz w:val="24"/>
        </w:rPr>
      </w:pPr>
    </w:p>
    <w:p w14:paraId="385D8AB7">
      <w:pPr>
        <w:widowControl/>
        <w:jc w:val="left"/>
        <w:rPr>
          <w:rFonts w:cs="华文楷体" w:asciiTheme="minorEastAsia" w:hAnsiTheme="minorEastAsia" w:eastAsiaTheme="minorEastAsia"/>
          <w:b/>
          <w:color w:val="000000" w:themeColor="text1"/>
          <w:sz w:val="24"/>
        </w:rPr>
      </w:pPr>
    </w:p>
    <w:p w14:paraId="622F495E">
      <w:pPr>
        <w:widowControl/>
        <w:jc w:val="left"/>
        <w:rPr>
          <w:rFonts w:cs="华文楷体" w:asciiTheme="minorEastAsia" w:hAnsiTheme="minorEastAsia" w:eastAsiaTheme="minorEastAsia"/>
          <w:b/>
          <w:color w:val="000000" w:themeColor="text1"/>
          <w:sz w:val="24"/>
        </w:rPr>
      </w:pPr>
    </w:p>
    <w:p w14:paraId="0254ED6B">
      <w:pPr>
        <w:widowControl/>
        <w:jc w:val="left"/>
        <w:rPr>
          <w:rFonts w:cs="华文楷体" w:asciiTheme="minorEastAsia" w:hAnsiTheme="minorEastAsia" w:eastAsiaTheme="minorEastAsia"/>
          <w:b/>
          <w:color w:val="000000" w:themeColor="text1"/>
          <w:sz w:val="24"/>
        </w:rPr>
      </w:pPr>
    </w:p>
    <w:p w14:paraId="7251B790">
      <w:pPr>
        <w:widowControl/>
        <w:jc w:val="left"/>
        <w:rPr>
          <w:rFonts w:cs="华文楷体" w:asciiTheme="minorEastAsia" w:hAnsiTheme="minorEastAsia" w:eastAsiaTheme="minorEastAsia"/>
          <w:b/>
          <w:color w:val="000000" w:themeColor="text1"/>
          <w:sz w:val="24"/>
        </w:rPr>
      </w:pPr>
    </w:p>
    <w:p w14:paraId="39B85BC5">
      <w:pPr>
        <w:widowControl/>
        <w:jc w:val="left"/>
        <w:rPr>
          <w:rFonts w:cs="华文楷体" w:asciiTheme="minorEastAsia" w:hAnsiTheme="minorEastAsia" w:eastAsiaTheme="minorEastAsia"/>
          <w:b/>
          <w:color w:val="000000" w:themeColor="text1"/>
          <w:sz w:val="24"/>
        </w:rPr>
      </w:pPr>
    </w:p>
    <w:p w14:paraId="7ACDA2FB">
      <w:pPr>
        <w:widowControl/>
        <w:jc w:val="left"/>
        <w:rPr>
          <w:rFonts w:cs="华文楷体" w:asciiTheme="minorEastAsia" w:hAnsiTheme="minorEastAsia" w:eastAsiaTheme="minorEastAsia"/>
          <w:b/>
          <w:color w:val="000000" w:themeColor="text1"/>
          <w:sz w:val="24"/>
        </w:rPr>
      </w:pPr>
    </w:p>
    <w:p w14:paraId="287680CC">
      <w:pPr>
        <w:widowControl/>
        <w:jc w:val="left"/>
        <w:rPr>
          <w:rFonts w:cs="华文楷体" w:asciiTheme="minorEastAsia" w:hAnsiTheme="minorEastAsia" w:eastAsiaTheme="minorEastAsia"/>
          <w:b/>
          <w:color w:val="000000" w:themeColor="text1"/>
          <w:sz w:val="24"/>
        </w:rPr>
      </w:pPr>
    </w:p>
    <w:p w14:paraId="0DE24815">
      <w:pPr>
        <w:widowControl/>
        <w:jc w:val="left"/>
        <w:rPr>
          <w:rFonts w:cs="华文楷体" w:asciiTheme="minorEastAsia" w:hAnsiTheme="minorEastAsia" w:eastAsiaTheme="minorEastAsia"/>
          <w:b/>
          <w:color w:val="000000" w:themeColor="text1"/>
          <w:sz w:val="24"/>
        </w:rPr>
      </w:pPr>
    </w:p>
    <w:p w14:paraId="5140418F">
      <w:pPr>
        <w:widowControl/>
        <w:ind w:firstLine="3301" w:firstLineChars="1096"/>
        <w:jc w:val="left"/>
        <w:rPr>
          <w:rFonts w:hint="eastAsia" w:cs="华文楷体" w:asciiTheme="minorEastAsia" w:hAnsiTheme="minorEastAsia" w:eastAsiaTheme="minorEastAsia"/>
          <w:b/>
          <w:color w:val="000000" w:themeColor="text1"/>
          <w:sz w:val="30"/>
          <w:szCs w:val="30"/>
          <w:highlight w:val="yellow"/>
        </w:rPr>
      </w:pPr>
    </w:p>
    <w:p w14:paraId="6980D67E">
      <w:pPr>
        <w:widowControl/>
        <w:ind w:firstLine="3301" w:firstLineChars="1096"/>
        <w:jc w:val="left"/>
        <w:rPr>
          <w:rFonts w:cs="华文楷体" w:asciiTheme="minorEastAsia" w:hAnsiTheme="minorEastAsia" w:eastAsiaTheme="minorEastAsia"/>
          <w:b/>
          <w:color w:val="000000" w:themeColor="text1"/>
          <w:sz w:val="30"/>
          <w:szCs w:val="30"/>
          <w:highlight w:val="yellow"/>
        </w:rPr>
      </w:pPr>
      <w:r>
        <w:rPr>
          <w:rFonts w:hint="eastAsia" w:cs="华文楷体" w:asciiTheme="minorEastAsia" w:hAnsiTheme="minorEastAsia" w:eastAsiaTheme="minorEastAsia"/>
          <w:b/>
          <w:color w:val="000000" w:themeColor="text1"/>
          <w:sz w:val="30"/>
          <w:szCs w:val="30"/>
          <w:highlight w:val="yellow"/>
        </w:rPr>
        <w:t>（五）偏离表</w:t>
      </w:r>
    </w:p>
    <w:tbl>
      <w:tblPr>
        <w:tblStyle w:val="15"/>
        <w:tblpPr w:leftFromText="180" w:rightFromText="180" w:vertAnchor="text" w:horzAnchor="margin" w:tblpY="203"/>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8"/>
        <w:gridCol w:w="3610"/>
        <w:gridCol w:w="1430"/>
        <w:gridCol w:w="2314"/>
        <w:gridCol w:w="1141"/>
      </w:tblGrid>
      <w:tr w14:paraId="352716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008" w:type="dxa"/>
            <w:tcBorders>
              <w:top w:val="single" w:color="auto" w:sz="4" w:space="0"/>
              <w:left w:val="single" w:color="auto" w:sz="4" w:space="0"/>
              <w:bottom w:val="single" w:color="auto" w:sz="4" w:space="0"/>
              <w:right w:val="single" w:color="auto" w:sz="4" w:space="0"/>
            </w:tcBorders>
            <w:vAlign w:val="center"/>
          </w:tcPr>
          <w:p w14:paraId="6323BD89">
            <w:pPr>
              <w:jc w:val="center"/>
              <w:rPr>
                <w:b/>
                <w:bCs/>
              </w:rPr>
            </w:pPr>
            <w:r>
              <w:rPr>
                <w:rFonts w:hint="eastAsia"/>
                <w:b/>
                <w:bCs/>
              </w:rPr>
              <w:t>序号</w:t>
            </w:r>
          </w:p>
        </w:tc>
        <w:tc>
          <w:tcPr>
            <w:tcW w:w="3610" w:type="dxa"/>
            <w:tcBorders>
              <w:top w:val="single" w:color="auto" w:sz="4" w:space="0"/>
              <w:left w:val="single" w:color="auto" w:sz="4" w:space="0"/>
              <w:bottom w:val="single" w:color="auto" w:sz="4" w:space="0"/>
              <w:right w:val="single" w:color="auto" w:sz="4" w:space="0"/>
            </w:tcBorders>
            <w:vAlign w:val="center"/>
          </w:tcPr>
          <w:p w14:paraId="5F69A7B5">
            <w:pPr>
              <w:jc w:val="center"/>
              <w:rPr>
                <w:b/>
                <w:bCs/>
              </w:rPr>
            </w:pPr>
            <w:r>
              <w:rPr>
                <w:rFonts w:hint="eastAsia"/>
                <w:b/>
                <w:bCs/>
              </w:rPr>
              <w:t>竞争性磋商文件（含竞争性磋商文件的澄清或者修改）的要求</w:t>
            </w:r>
          </w:p>
        </w:tc>
        <w:tc>
          <w:tcPr>
            <w:tcW w:w="1430" w:type="dxa"/>
            <w:tcBorders>
              <w:top w:val="single" w:color="auto" w:sz="4" w:space="0"/>
              <w:left w:val="single" w:color="auto" w:sz="4" w:space="0"/>
              <w:bottom w:val="single" w:color="auto" w:sz="4" w:space="0"/>
              <w:right w:val="single" w:color="auto" w:sz="4" w:space="0"/>
            </w:tcBorders>
            <w:vAlign w:val="center"/>
          </w:tcPr>
          <w:p w14:paraId="2A217B7E">
            <w:pPr>
              <w:jc w:val="center"/>
              <w:rPr>
                <w:b/>
                <w:bCs/>
              </w:rPr>
            </w:pPr>
            <w:r>
              <w:rPr>
                <w:rFonts w:hint="eastAsia"/>
                <w:b/>
                <w:bCs/>
              </w:rPr>
              <w:t>首次响应文件中的内容</w:t>
            </w:r>
          </w:p>
        </w:tc>
        <w:tc>
          <w:tcPr>
            <w:tcW w:w="2314" w:type="dxa"/>
            <w:tcBorders>
              <w:top w:val="single" w:color="auto" w:sz="4" w:space="0"/>
              <w:left w:val="single" w:color="auto" w:sz="4" w:space="0"/>
              <w:bottom w:val="single" w:color="auto" w:sz="4" w:space="0"/>
              <w:right w:val="single" w:color="auto" w:sz="4" w:space="0"/>
            </w:tcBorders>
            <w:vAlign w:val="center"/>
          </w:tcPr>
          <w:p w14:paraId="441028F7">
            <w:pPr>
              <w:jc w:val="center"/>
              <w:rPr>
                <w:b/>
                <w:bCs/>
              </w:rPr>
            </w:pPr>
            <w:r>
              <w:rPr>
                <w:rFonts w:hint="eastAsia" w:ascii="宋体" w:hAnsi="宋体" w:cs="宋体"/>
                <w:b/>
                <w:bCs/>
                <w:caps/>
                <w:sz w:val="24"/>
              </w:rPr>
              <w:t>（正/负/无）</w:t>
            </w:r>
            <w:r>
              <w:rPr>
                <w:b/>
                <w:bCs/>
              </w:rPr>
              <w:t>偏离</w:t>
            </w:r>
          </w:p>
        </w:tc>
        <w:tc>
          <w:tcPr>
            <w:tcW w:w="1141" w:type="dxa"/>
            <w:tcBorders>
              <w:top w:val="single" w:color="auto" w:sz="4" w:space="0"/>
              <w:left w:val="single" w:color="auto" w:sz="4" w:space="0"/>
              <w:bottom w:val="single" w:color="auto" w:sz="4" w:space="0"/>
              <w:right w:val="single" w:color="auto" w:sz="4" w:space="0"/>
            </w:tcBorders>
            <w:vAlign w:val="center"/>
          </w:tcPr>
          <w:p w14:paraId="25AA830D">
            <w:pPr>
              <w:jc w:val="center"/>
              <w:rPr>
                <w:b/>
                <w:bCs/>
              </w:rPr>
            </w:pPr>
            <w:r>
              <w:rPr>
                <w:b/>
                <w:bCs/>
              </w:rPr>
              <w:t>说明</w:t>
            </w:r>
          </w:p>
        </w:tc>
      </w:tr>
      <w:tr w14:paraId="0D5DE5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08" w:type="dxa"/>
            <w:tcBorders>
              <w:top w:val="single" w:color="auto" w:sz="4" w:space="0"/>
              <w:left w:val="single" w:color="auto" w:sz="4" w:space="0"/>
              <w:bottom w:val="single" w:color="auto" w:sz="4" w:space="0"/>
              <w:right w:val="single" w:color="auto" w:sz="4" w:space="0"/>
            </w:tcBorders>
            <w:vAlign w:val="center"/>
          </w:tcPr>
          <w:p w14:paraId="08C4519F">
            <w:pPr>
              <w:spacing w:line="240" w:lineRule="exact"/>
              <w:jc w:val="center"/>
            </w:pPr>
          </w:p>
        </w:tc>
        <w:tc>
          <w:tcPr>
            <w:tcW w:w="3610" w:type="dxa"/>
            <w:tcBorders>
              <w:top w:val="single" w:color="auto" w:sz="4" w:space="0"/>
              <w:left w:val="single" w:color="auto" w:sz="4" w:space="0"/>
              <w:bottom w:val="single" w:color="auto" w:sz="4" w:space="0"/>
              <w:right w:val="single" w:color="auto" w:sz="4" w:space="0"/>
            </w:tcBorders>
            <w:vAlign w:val="center"/>
          </w:tcPr>
          <w:p w14:paraId="265A6419">
            <w:pPr>
              <w:spacing w:line="240" w:lineRule="exact"/>
              <w:jc w:val="center"/>
            </w:pPr>
          </w:p>
        </w:tc>
        <w:tc>
          <w:tcPr>
            <w:tcW w:w="1430" w:type="dxa"/>
            <w:tcBorders>
              <w:top w:val="single" w:color="auto" w:sz="4" w:space="0"/>
              <w:left w:val="single" w:color="auto" w:sz="4" w:space="0"/>
              <w:bottom w:val="single" w:color="auto" w:sz="4" w:space="0"/>
              <w:right w:val="single" w:color="auto" w:sz="4" w:space="0"/>
            </w:tcBorders>
            <w:vAlign w:val="center"/>
          </w:tcPr>
          <w:p w14:paraId="6B354F0E">
            <w:pPr>
              <w:spacing w:line="240" w:lineRule="exact"/>
              <w:jc w:val="center"/>
            </w:pPr>
          </w:p>
        </w:tc>
        <w:tc>
          <w:tcPr>
            <w:tcW w:w="2314" w:type="dxa"/>
            <w:tcBorders>
              <w:top w:val="single" w:color="auto" w:sz="4" w:space="0"/>
              <w:left w:val="single" w:color="auto" w:sz="4" w:space="0"/>
              <w:bottom w:val="single" w:color="auto" w:sz="4" w:space="0"/>
              <w:right w:val="single" w:color="auto" w:sz="4" w:space="0"/>
            </w:tcBorders>
            <w:vAlign w:val="center"/>
          </w:tcPr>
          <w:p w14:paraId="5BA83C7B">
            <w:pPr>
              <w:spacing w:line="240" w:lineRule="exact"/>
              <w:jc w:val="center"/>
            </w:pPr>
          </w:p>
        </w:tc>
        <w:tc>
          <w:tcPr>
            <w:tcW w:w="1141" w:type="dxa"/>
            <w:tcBorders>
              <w:top w:val="single" w:color="auto" w:sz="4" w:space="0"/>
              <w:left w:val="single" w:color="auto" w:sz="4" w:space="0"/>
              <w:bottom w:val="single" w:color="auto" w:sz="4" w:space="0"/>
              <w:right w:val="single" w:color="auto" w:sz="4" w:space="0"/>
            </w:tcBorders>
            <w:vAlign w:val="center"/>
          </w:tcPr>
          <w:p w14:paraId="405610FF">
            <w:pPr>
              <w:spacing w:line="240" w:lineRule="exact"/>
              <w:jc w:val="center"/>
            </w:pPr>
          </w:p>
        </w:tc>
      </w:tr>
      <w:tr w14:paraId="47B16D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008" w:type="dxa"/>
            <w:tcBorders>
              <w:top w:val="single" w:color="auto" w:sz="4" w:space="0"/>
              <w:left w:val="single" w:color="auto" w:sz="4" w:space="0"/>
              <w:bottom w:val="single" w:color="auto" w:sz="4" w:space="0"/>
              <w:right w:val="single" w:color="auto" w:sz="4" w:space="0"/>
            </w:tcBorders>
            <w:vAlign w:val="center"/>
          </w:tcPr>
          <w:p w14:paraId="4808A1B6">
            <w:pPr>
              <w:spacing w:line="240" w:lineRule="exact"/>
              <w:jc w:val="center"/>
            </w:pPr>
          </w:p>
        </w:tc>
        <w:tc>
          <w:tcPr>
            <w:tcW w:w="3610" w:type="dxa"/>
            <w:tcBorders>
              <w:top w:val="single" w:color="auto" w:sz="4" w:space="0"/>
              <w:left w:val="single" w:color="auto" w:sz="4" w:space="0"/>
              <w:bottom w:val="single" w:color="auto" w:sz="4" w:space="0"/>
              <w:right w:val="single" w:color="auto" w:sz="4" w:space="0"/>
            </w:tcBorders>
            <w:vAlign w:val="center"/>
          </w:tcPr>
          <w:p w14:paraId="2E2366C7">
            <w:pPr>
              <w:spacing w:line="240" w:lineRule="exact"/>
              <w:jc w:val="center"/>
            </w:pPr>
          </w:p>
        </w:tc>
        <w:tc>
          <w:tcPr>
            <w:tcW w:w="1430" w:type="dxa"/>
            <w:tcBorders>
              <w:top w:val="single" w:color="auto" w:sz="4" w:space="0"/>
              <w:left w:val="single" w:color="auto" w:sz="4" w:space="0"/>
              <w:bottom w:val="single" w:color="auto" w:sz="4" w:space="0"/>
              <w:right w:val="single" w:color="auto" w:sz="4" w:space="0"/>
            </w:tcBorders>
            <w:vAlign w:val="center"/>
          </w:tcPr>
          <w:p w14:paraId="49EDEEC0">
            <w:pPr>
              <w:spacing w:line="240" w:lineRule="exact"/>
              <w:jc w:val="center"/>
            </w:pPr>
          </w:p>
        </w:tc>
        <w:tc>
          <w:tcPr>
            <w:tcW w:w="2314" w:type="dxa"/>
            <w:tcBorders>
              <w:top w:val="single" w:color="auto" w:sz="4" w:space="0"/>
              <w:left w:val="single" w:color="auto" w:sz="4" w:space="0"/>
              <w:bottom w:val="single" w:color="auto" w:sz="4" w:space="0"/>
              <w:right w:val="single" w:color="auto" w:sz="4" w:space="0"/>
            </w:tcBorders>
            <w:vAlign w:val="center"/>
          </w:tcPr>
          <w:p w14:paraId="62103DAA">
            <w:pPr>
              <w:spacing w:line="240" w:lineRule="exact"/>
              <w:jc w:val="center"/>
            </w:pPr>
          </w:p>
        </w:tc>
        <w:tc>
          <w:tcPr>
            <w:tcW w:w="1141" w:type="dxa"/>
            <w:tcBorders>
              <w:top w:val="single" w:color="auto" w:sz="4" w:space="0"/>
              <w:left w:val="single" w:color="auto" w:sz="4" w:space="0"/>
              <w:bottom w:val="single" w:color="auto" w:sz="4" w:space="0"/>
              <w:right w:val="single" w:color="auto" w:sz="4" w:space="0"/>
            </w:tcBorders>
            <w:vAlign w:val="center"/>
          </w:tcPr>
          <w:p w14:paraId="2A7896E6">
            <w:pPr>
              <w:spacing w:line="240" w:lineRule="exact"/>
              <w:jc w:val="center"/>
            </w:pPr>
          </w:p>
        </w:tc>
      </w:tr>
      <w:tr w14:paraId="6E8266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14:paraId="5BA98277">
            <w:pPr>
              <w:spacing w:line="240" w:lineRule="exact"/>
              <w:jc w:val="center"/>
            </w:pPr>
          </w:p>
        </w:tc>
        <w:tc>
          <w:tcPr>
            <w:tcW w:w="3610" w:type="dxa"/>
            <w:tcBorders>
              <w:top w:val="single" w:color="auto" w:sz="4" w:space="0"/>
              <w:left w:val="single" w:color="auto" w:sz="4" w:space="0"/>
              <w:bottom w:val="single" w:color="auto" w:sz="4" w:space="0"/>
              <w:right w:val="single" w:color="auto" w:sz="4" w:space="0"/>
            </w:tcBorders>
            <w:vAlign w:val="center"/>
          </w:tcPr>
          <w:p w14:paraId="462315A8">
            <w:pPr>
              <w:spacing w:line="240" w:lineRule="exact"/>
              <w:jc w:val="center"/>
            </w:pPr>
          </w:p>
        </w:tc>
        <w:tc>
          <w:tcPr>
            <w:tcW w:w="1430" w:type="dxa"/>
            <w:tcBorders>
              <w:top w:val="single" w:color="auto" w:sz="4" w:space="0"/>
              <w:left w:val="single" w:color="auto" w:sz="4" w:space="0"/>
              <w:bottom w:val="single" w:color="auto" w:sz="4" w:space="0"/>
              <w:right w:val="single" w:color="auto" w:sz="4" w:space="0"/>
            </w:tcBorders>
            <w:vAlign w:val="center"/>
          </w:tcPr>
          <w:p w14:paraId="23A441E8">
            <w:pPr>
              <w:spacing w:line="240" w:lineRule="exact"/>
              <w:jc w:val="center"/>
            </w:pPr>
          </w:p>
        </w:tc>
        <w:tc>
          <w:tcPr>
            <w:tcW w:w="2314" w:type="dxa"/>
            <w:tcBorders>
              <w:top w:val="single" w:color="auto" w:sz="4" w:space="0"/>
              <w:left w:val="single" w:color="auto" w:sz="4" w:space="0"/>
              <w:bottom w:val="single" w:color="auto" w:sz="4" w:space="0"/>
              <w:right w:val="single" w:color="auto" w:sz="4" w:space="0"/>
            </w:tcBorders>
            <w:vAlign w:val="center"/>
          </w:tcPr>
          <w:p w14:paraId="0CD5E0BD">
            <w:pPr>
              <w:spacing w:line="240" w:lineRule="exact"/>
              <w:jc w:val="center"/>
            </w:pPr>
          </w:p>
        </w:tc>
        <w:tc>
          <w:tcPr>
            <w:tcW w:w="1141" w:type="dxa"/>
            <w:tcBorders>
              <w:top w:val="single" w:color="auto" w:sz="4" w:space="0"/>
              <w:left w:val="single" w:color="auto" w:sz="4" w:space="0"/>
              <w:bottom w:val="single" w:color="auto" w:sz="4" w:space="0"/>
              <w:right w:val="single" w:color="auto" w:sz="4" w:space="0"/>
            </w:tcBorders>
            <w:vAlign w:val="center"/>
          </w:tcPr>
          <w:p w14:paraId="13DC6FDB">
            <w:pPr>
              <w:spacing w:line="240" w:lineRule="exact"/>
              <w:jc w:val="center"/>
            </w:pPr>
          </w:p>
        </w:tc>
      </w:tr>
      <w:tr w14:paraId="67BFAB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14:paraId="078698BE">
            <w:pPr>
              <w:spacing w:line="240" w:lineRule="exact"/>
              <w:jc w:val="center"/>
            </w:pPr>
          </w:p>
        </w:tc>
        <w:tc>
          <w:tcPr>
            <w:tcW w:w="3610" w:type="dxa"/>
            <w:tcBorders>
              <w:top w:val="single" w:color="auto" w:sz="4" w:space="0"/>
              <w:left w:val="single" w:color="auto" w:sz="4" w:space="0"/>
              <w:bottom w:val="single" w:color="auto" w:sz="4" w:space="0"/>
              <w:right w:val="single" w:color="auto" w:sz="4" w:space="0"/>
            </w:tcBorders>
            <w:vAlign w:val="center"/>
          </w:tcPr>
          <w:p w14:paraId="4B6227C2">
            <w:pPr>
              <w:spacing w:line="240" w:lineRule="exact"/>
              <w:jc w:val="center"/>
            </w:pPr>
          </w:p>
        </w:tc>
        <w:tc>
          <w:tcPr>
            <w:tcW w:w="1430" w:type="dxa"/>
            <w:tcBorders>
              <w:top w:val="single" w:color="auto" w:sz="4" w:space="0"/>
              <w:left w:val="single" w:color="auto" w:sz="4" w:space="0"/>
              <w:bottom w:val="single" w:color="auto" w:sz="4" w:space="0"/>
              <w:right w:val="single" w:color="auto" w:sz="4" w:space="0"/>
            </w:tcBorders>
            <w:vAlign w:val="center"/>
          </w:tcPr>
          <w:p w14:paraId="0A224095">
            <w:pPr>
              <w:spacing w:line="240" w:lineRule="exact"/>
              <w:jc w:val="center"/>
            </w:pPr>
          </w:p>
        </w:tc>
        <w:tc>
          <w:tcPr>
            <w:tcW w:w="2314" w:type="dxa"/>
            <w:tcBorders>
              <w:top w:val="single" w:color="auto" w:sz="4" w:space="0"/>
              <w:left w:val="single" w:color="auto" w:sz="4" w:space="0"/>
              <w:bottom w:val="single" w:color="auto" w:sz="4" w:space="0"/>
              <w:right w:val="single" w:color="auto" w:sz="4" w:space="0"/>
            </w:tcBorders>
            <w:vAlign w:val="center"/>
          </w:tcPr>
          <w:p w14:paraId="0CC1AC8C">
            <w:pPr>
              <w:spacing w:line="240" w:lineRule="exact"/>
              <w:jc w:val="center"/>
            </w:pPr>
          </w:p>
        </w:tc>
        <w:tc>
          <w:tcPr>
            <w:tcW w:w="1141" w:type="dxa"/>
            <w:tcBorders>
              <w:top w:val="single" w:color="auto" w:sz="4" w:space="0"/>
              <w:left w:val="single" w:color="auto" w:sz="4" w:space="0"/>
              <w:bottom w:val="single" w:color="auto" w:sz="4" w:space="0"/>
              <w:right w:val="single" w:color="auto" w:sz="4" w:space="0"/>
            </w:tcBorders>
            <w:vAlign w:val="center"/>
          </w:tcPr>
          <w:p w14:paraId="4D0D2233">
            <w:pPr>
              <w:spacing w:line="240" w:lineRule="exact"/>
              <w:jc w:val="center"/>
            </w:pPr>
          </w:p>
        </w:tc>
      </w:tr>
      <w:tr w14:paraId="7243E9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14:paraId="71C234E3">
            <w:pPr>
              <w:spacing w:line="240" w:lineRule="exact"/>
              <w:jc w:val="center"/>
            </w:pPr>
          </w:p>
        </w:tc>
        <w:tc>
          <w:tcPr>
            <w:tcW w:w="3610" w:type="dxa"/>
            <w:tcBorders>
              <w:top w:val="single" w:color="auto" w:sz="4" w:space="0"/>
              <w:left w:val="single" w:color="auto" w:sz="4" w:space="0"/>
              <w:bottom w:val="single" w:color="auto" w:sz="4" w:space="0"/>
              <w:right w:val="single" w:color="auto" w:sz="4" w:space="0"/>
            </w:tcBorders>
            <w:vAlign w:val="center"/>
          </w:tcPr>
          <w:p w14:paraId="6B12CDD3">
            <w:pPr>
              <w:spacing w:line="240" w:lineRule="exact"/>
              <w:jc w:val="center"/>
            </w:pPr>
          </w:p>
        </w:tc>
        <w:tc>
          <w:tcPr>
            <w:tcW w:w="1430" w:type="dxa"/>
            <w:tcBorders>
              <w:top w:val="single" w:color="auto" w:sz="4" w:space="0"/>
              <w:left w:val="single" w:color="auto" w:sz="4" w:space="0"/>
              <w:bottom w:val="single" w:color="auto" w:sz="4" w:space="0"/>
              <w:right w:val="single" w:color="auto" w:sz="4" w:space="0"/>
            </w:tcBorders>
            <w:vAlign w:val="center"/>
          </w:tcPr>
          <w:p w14:paraId="67050A98">
            <w:pPr>
              <w:spacing w:line="240" w:lineRule="exact"/>
              <w:jc w:val="center"/>
            </w:pPr>
          </w:p>
        </w:tc>
        <w:tc>
          <w:tcPr>
            <w:tcW w:w="2314" w:type="dxa"/>
            <w:tcBorders>
              <w:top w:val="single" w:color="auto" w:sz="4" w:space="0"/>
              <w:left w:val="single" w:color="auto" w:sz="4" w:space="0"/>
              <w:bottom w:val="single" w:color="auto" w:sz="4" w:space="0"/>
              <w:right w:val="single" w:color="auto" w:sz="4" w:space="0"/>
            </w:tcBorders>
            <w:vAlign w:val="center"/>
          </w:tcPr>
          <w:p w14:paraId="1F32B1E3">
            <w:pPr>
              <w:spacing w:line="240" w:lineRule="exact"/>
              <w:jc w:val="center"/>
            </w:pPr>
          </w:p>
        </w:tc>
        <w:tc>
          <w:tcPr>
            <w:tcW w:w="1141" w:type="dxa"/>
            <w:tcBorders>
              <w:top w:val="single" w:color="auto" w:sz="4" w:space="0"/>
              <w:left w:val="single" w:color="auto" w:sz="4" w:space="0"/>
              <w:bottom w:val="single" w:color="auto" w:sz="4" w:space="0"/>
              <w:right w:val="single" w:color="auto" w:sz="4" w:space="0"/>
            </w:tcBorders>
            <w:vAlign w:val="center"/>
          </w:tcPr>
          <w:p w14:paraId="7EED70ED">
            <w:pPr>
              <w:spacing w:line="240" w:lineRule="exact"/>
              <w:jc w:val="center"/>
            </w:pPr>
          </w:p>
        </w:tc>
      </w:tr>
      <w:bookmarkEnd w:id="8"/>
    </w:tbl>
    <w:p w14:paraId="67A42DCD">
      <w:pPr>
        <w:spacing w:line="380" w:lineRule="exact"/>
        <w:rPr>
          <w:rFonts w:hint="eastAsia" w:ascii="宋体" w:hAnsi="宋体" w:cs="宋体"/>
          <w:sz w:val="24"/>
          <w:u w:val="single"/>
        </w:rPr>
      </w:pPr>
    </w:p>
    <w:p w14:paraId="79912D8D">
      <w:pPr>
        <w:spacing w:line="380" w:lineRule="exact"/>
        <w:rPr>
          <w:rFonts w:ascii="宋体" w:hAnsi="宋体" w:cs="宋体"/>
          <w:sz w:val="24"/>
        </w:rPr>
      </w:pPr>
      <w:r>
        <w:rPr>
          <w:rFonts w:hint="eastAsia" w:ascii="宋体" w:hAnsi="宋体" w:cs="宋体"/>
          <w:sz w:val="24"/>
          <w:u w:val="single"/>
        </w:rPr>
        <w:t>注：供应商的首次响应文件中的内容与竞争性磋商文件（含竞争性磋商文件</w:t>
      </w:r>
      <w:r>
        <w:rPr>
          <w:rFonts w:hint="eastAsia" w:ascii="宋体" w:hAnsi="宋体" w:cs="宋体"/>
          <w:kern w:val="0"/>
          <w:sz w:val="24"/>
          <w:u w:val="single"/>
        </w:rPr>
        <w:t>的澄清或者修改，下同</w:t>
      </w:r>
      <w:r>
        <w:rPr>
          <w:rFonts w:hint="eastAsia" w:ascii="宋体" w:hAnsi="宋体" w:cs="宋体"/>
          <w:sz w:val="24"/>
          <w:u w:val="single"/>
        </w:rPr>
        <w:t>）的要求不同时，逐条列在偏离表中，否则将认为供应商接受竞争性磋商文件的要求。</w:t>
      </w:r>
    </w:p>
    <w:p w14:paraId="513C0496">
      <w:pPr>
        <w:pStyle w:val="6"/>
        <w:tabs>
          <w:tab w:val="left" w:pos="3839"/>
        </w:tabs>
      </w:pPr>
    </w:p>
    <w:p w14:paraId="33F7AEC4">
      <w:pPr>
        <w:pStyle w:val="6"/>
        <w:tabs>
          <w:tab w:val="left" w:pos="3839"/>
        </w:tabs>
      </w:pPr>
    </w:p>
    <w:p w14:paraId="1D63CA47">
      <w:pPr>
        <w:ind w:left="470" w:hanging="470" w:hangingChars="196"/>
        <w:jc w:val="center"/>
        <w:rPr>
          <w:bCs/>
        </w:rPr>
      </w:pPr>
      <w:r>
        <w:rPr>
          <w:rFonts w:hint="eastAsia" w:cs="华文楷体" w:asciiTheme="minorEastAsia" w:hAnsiTheme="minorEastAsia" w:eastAsiaTheme="minorEastAsia"/>
          <w:bCs/>
          <w:color w:val="000000" w:themeColor="text1"/>
          <w:sz w:val="24"/>
        </w:rPr>
        <w:t xml:space="preserve">               供应商</w:t>
      </w:r>
      <w:r>
        <w:rPr>
          <w:rFonts w:cs="华文楷体" w:asciiTheme="minorEastAsia" w:hAnsiTheme="minorEastAsia" w:eastAsiaTheme="minorEastAsia"/>
          <w:bCs/>
          <w:color w:val="000000" w:themeColor="text1"/>
          <w:sz w:val="24"/>
        </w:rPr>
        <w:t>：</w:t>
      </w:r>
      <w:r>
        <w:rPr>
          <w:rFonts w:cs="华文楷体" w:asciiTheme="minorEastAsia" w:hAnsiTheme="minorEastAsia" w:eastAsiaTheme="minorEastAsia"/>
          <w:bCs/>
          <w:color w:val="000000" w:themeColor="text1"/>
          <w:sz w:val="24"/>
          <w:u w:val="single"/>
        </w:rPr>
        <w:t xml:space="preserve">   （单位全称） （盖章）   </w:t>
      </w:r>
    </w:p>
    <w:p w14:paraId="41DBE6E8">
      <w:pPr>
        <w:pStyle w:val="43"/>
        <w:jc w:val="right"/>
        <w:rPr>
          <w:b/>
        </w:rPr>
      </w:pPr>
      <w:r>
        <w:rPr>
          <w:rFonts w:hint="eastAsia" w:ascii="宋体" w:hAnsi="宋体" w:eastAsia="宋体" w:cs="宋体"/>
          <w:color w:val="auto"/>
        </w:rPr>
        <w:t>法定代表人或授权代表（签字或盖章）：</w:t>
      </w:r>
      <w:r>
        <w:rPr>
          <w:rFonts w:hint="eastAsia"/>
        </w:rPr>
        <w:t>___________</w:t>
      </w:r>
    </w:p>
    <w:p w14:paraId="0A7C4769">
      <w:pPr>
        <w:pStyle w:val="43"/>
        <w:ind w:firstLine="3600" w:firstLineChars="1500"/>
      </w:pPr>
      <w:bookmarkStart w:id="11" w:name="_Toc86202650"/>
      <w:r>
        <w:rPr>
          <w:rFonts w:hint="eastAsia"/>
        </w:rPr>
        <w:t>日期：</w:t>
      </w:r>
      <w:bookmarkEnd w:id="11"/>
    </w:p>
    <w:p w14:paraId="265A3C43">
      <w:pPr>
        <w:pStyle w:val="43"/>
        <w:ind w:firstLine="3600" w:firstLineChars="1500"/>
      </w:pPr>
    </w:p>
    <w:p w14:paraId="5C692C45">
      <w:pPr>
        <w:widowControl/>
        <w:jc w:val="left"/>
      </w:pPr>
    </w:p>
    <w:p w14:paraId="4D12105C">
      <w:pPr>
        <w:spacing w:line="380" w:lineRule="exact"/>
        <w:jc w:val="center"/>
        <w:rPr>
          <w:rFonts w:hint="eastAsia" w:ascii="宋体" w:hAnsi="宋体" w:cs="宋体"/>
          <w:b/>
          <w:bCs/>
          <w:sz w:val="36"/>
          <w:highlight w:val="yellow"/>
        </w:rPr>
      </w:pPr>
    </w:p>
    <w:p w14:paraId="37D63B5D">
      <w:pPr>
        <w:spacing w:line="380" w:lineRule="exact"/>
        <w:jc w:val="center"/>
        <w:rPr>
          <w:rFonts w:hint="eastAsia" w:ascii="宋体" w:hAnsi="宋体" w:cs="宋体"/>
          <w:b/>
          <w:bCs/>
          <w:sz w:val="36"/>
          <w:highlight w:val="yellow"/>
        </w:rPr>
      </w:pPr>
    </w:p>
    <w:p w14:paraId="68267C55">
      <w:pPr>
        <w:spacing w:line="380" w:lineRule="exact"/>
        <w:jc w:val="center"/>
        <w:rPr>
          <w:rFonts w:hint="eastAsia" w:ascii="宋体" w:hAnsi="宋体" w:cs="宋体"/>
          <w:b/>
          <w:bCs/>
          <w:sz w:val="36"/>
          <w:highlight w:val="yellow"/>
        </w:rPr>
      </w:pPr>
    </w:p>
    <w:p w14:paraId="13CC4F63">
      <w:pPr>
        <w:spacing w:line="380" w:lineRule="exact"/>
        <w:jc w:val="center"/>
        <w:rPr>
          <w:rFonts w:hint="eastAsia" w:ascii="宋体" w:hAnsi="宋体" w:cs="宋体"/>
          <w:b/>
          <w:bCs/>
          <w:sz w:val="36"/>
          <w:highlight w:val="yellow"/>
        </w:rPr>
      </w:pPr>
    </w:p>
    <w:p w14:paraId="37F78A84">
      <w:pPr>
        <w:spacing w:line="380" w:lineRule="exact"/>
        <w:jc w:val="center"/>
        <w:rPr>
          <w:rFonts w:hint="eastAsia" w:ascii="宋体" w:hAnsi="宋体" w:cs="宋体"/>
          <w:b/>
          <w:bCs/>
          <w:sz w:val="36"/>
          <w:highlight w:val="yellow"/>
        </w:rPr>
      </w:pPr>
    </w:p>
    <w:p w14:paraId="0688A449">
      <w:pPr>
        <w:spacing w:line="380" w:lineRule="exact"/>
        <w:jc w:val="center"/>
        <w:rPr>
          <w:rFonts w:hint="eastAsia" w:ascii="宋体" w:hAnsi="宋体" w:cs="宋体"/>
          <w:b/>
          <w:bCs/>
          <w:sz w:val="36"/>
          <w:highlight w:val="yellow"/>
        </w:rPr>
      </w:pPr>
    </w:p>
    <w:p w14:paraId="43377CA4">
      <w:pPr>
        <w:spacing w:line="380" w:lineRule="exact"/>
        <w:jc w:val="center"/>
        <w:rPr>
          <w:rFonts w:hint="eastAsia" w:ascii="宋体" w:hAnsi="宋体" w:cs="宋体"/>
          <w:b/>
          <w:bCs/>
          <w:sz w:val="36"/>
          <w:highlight w:val="yellow"/>
        </w:rPr>
      </w:pPr>
    </w:p>
    <w:p w14:paraId="588372D0">
      <w:pPr>
        <w:spacing w:line="380" w:lineRule="exact"/>
        <w:jc w:val="center"/>
        <w:rPr>
          <w:rFonts w:hint="eastAsia" w:ascii="宋体" w:hAnsi="宋体" w:cs="宋体"/>
          <w:b/>
          <w:bCs/>
          <w:sz w:val="36"/>
          <w:highlight w:val="yellow"/>
        </w:rPr>
      </w:pPr>
    </w:p>
    <w:p w14:paraId="59E656BF">
      <w:pPr>
        <w:spacing w:line="380" w:lineRule="exact"/>
        <w:jc w:val="center"/>
        <w:rPr>
          <w:rFonts w:hint="eastAsia" w:ascii="宋体" w:hAnsi="宋体" w:cs="宋体"/>
          <w:b/>
          <w:bCs/>
          <w:sz w:val="36"/>
          <w:highlight w:val="yellow"/>
        </w:rPr>
      </w:pPr>
    </w:p>
    <w:p w14:paraId="26C2F0FC">
      <w:pPr>
        <w:spacing w:line="380" w:lineRule="exact"/>
        <w:jc w:val="center"/>
        <w:rPr>
          <w:rFonts w:hint="eastAsia" w:ascii="宋体" w:hAnsi="宋体" w:cs="宋体"/>
          <w:b/>
          <w:bCs/>
          <w:sz w:val="36"/>
          <w:highlight w:val="yellow"/>
        </w:rPr>
      </w:pPr>
    </w:p>
    <w:p w14:paraId="40E798AF">
      <w:pPr>
        <w:spacing w:line="380" w:lineRule="exact"/>
        <w:jc w:val="center"/>
        <w:rPr>
          <w:rFonts w:hint="eastAsia" w:ascii="宋体" w:hAnsi="宋体" w:cs="宋体"/>
          <w:b/>
          <w:bCs/>
          <w:sz w:val="36"/>
          <w:highlight w:val="yellow"/>
        </w:rPr>
      </w:pPr>
    </w:p>
    <w:p w14:paraId="61E9F4F4">
      <w:pPr>
        <w:spacing w:line="380" w:lineRule="exact"/>
        <w:jc w:val="center"/>
        <w:rPr>
          <w:rFonts w:hint="eastAsia" w:ascii="宋体" w:hAnsi="宋体" w:cs="宋体"/>
          <w:b/>
          <w:bCs/>
          <w:sz w:val="36"/>
          <w:highlight w:val="yellow"/>
        </w:rPr>
      </w:pPr>
    </w:p>
    <w:p w14:paraId="4DA3B99D">
      <w:pPr>
        <w:spacing w:line="380" w:lineRule="exact"/>
        <w:jc w:val="center"/>
        <w:rPr>
          <w:rFonts w:hint="eastAsia" w:ascii="宋体" w:hAnsi="宋体" w:cs="宋体"/>
          <w:b/>
          <w:bCs/>
          <w:sz w:val="36"/>
          <w:highlight w:val="yellow"/>
        </w:rPr>
      </w:pPr>
    </w:p>
    <w:p w14:paraId="2E554018">
      <w:pPr>
        <w:spacing w:line="380" w:lineRule="exact"/>
        <w:jc w:val="center"/>
        <w:rPr>
          <w:rFonts w:hint="eastAsia" w:ascii="宋体" w:hAnsi="宋体" w:cs="宋体"/>
          <w:b/>
          <w:bCs/>
          <w:sz w:val="36"/>
          <w:highlight w:val="yellow"/>
        </w:rPr>
      </w:pPr>
    </w:p>
    <w:p w14:paraId="3EA9C0D1">
      <w:pPr>
        <w:spacing w:line="380" w:lineRule="exact"/>
        <w:jc w:val="center"/>
        <w:rPr>
          <w:rFonts w:hint="eastAsia" w:ascii="宋体" w:hAnsi="宋体" w:cs="宋体"/>
          <w:b/>
          <w:bCs/>
          <w:sz w:val="36"/>
          <w:highlight w:val="yellow"/>
        </w:rPr>
      </w:pPr>
    </w:p>
    <w:p w14:paraId="42514A81">
      <w:pPr>
        <w:spacing w:line="380" w:lineRule="exact"/>
        <w:jc w:val="center"/>
        <w:rPr>
          <w:rFonts w:ascii="宋体" w:hAnsi="宋体" w:cs="宋体"/>
          <w:b/>
          <w:bCs/>
          <w:sz w:val="36"/>
          <w:highlight w:val="yellow"/>
        </w:rPr>
      </w:pPr>
      <w:r>
        <w:rPr>
          <w:rFonts w:hint="eastAsia" w:ascii="宋体" w:hAnsi="宋体" w:cs="宋体"/>
          <w:b/>
          <w:bCs/>
          <w:sz w:val="36"/>
          <w:highlight w:val="yellow"/>
        </w:rPr>
        <w:t>（六）承诺书</w:t>
      </w:r>
    </w:p>
    <w:p w14:paraId="7F0BBA58">
      <w:pPr>
        <w:adjustRightInd w:val="0"/>
        <w:snapToGrid w:val="0"/>
        <w:spacing w:line="380" w:lineRule="exact"/>
        <w:jc w:val="center"/>
        <w:rPr>
          <w:rFonts w:ascii="宋体" w:hAnsi="宋体" w:cs="宋体"/>
          <w:sz w:val="24"/>
        </w:rPr>
      </w:pPr>
    </w:p>
    <w:p w14:paraId="5FB607DA">
      <w:pPr>
        <w:adjustRightInd w:val="0"/>
        <w:snapToGrid w:val="0"/>
        <w:spacing w:line="380" w:lineRule="exact"/>
        <w:rPr>
          <w:rFonts w:ascii="宋体" w:hAnsi="宋体" w:cs="宋体"/>
          <w:sz w:val="24"/>
        </w:rPr>
      </w:pPr>
      <w:r>
        <w:rPr>
          <w:rFonts w:hint="eastAsia" w:ascii="宋体" w:hAnsi="宋体" w:cs="宋体"/>
          <w:sz w:val="24"/>
        </w:rPr>
        <w:t>致</w:t>
      </w:r>
      <w:r>
        <w:rPr>
          <w:rFonts w:hint="eastAsia" w:ascii="宋体" w:hAnsi="宋体" w:cs="宋体"/>
          <w:b/>
          <w:bCs/>
          <w:sz w:val="24"/>
          <w:u w:val="single"/>
        </w:rPr>
        <w:t>江苏师范大学</w:t>
      </w:r>
      <w:r>
        <w:rPr>
          <w:rFonts w:hint="eastAsia" w:ascii="宋体" w:hAnsi="宋体" w:cs="宋体"/>
          <w:sz w:val="24"/>
          <w:u w:val="single"/>
        </w:rPr>
        <w:t>：</w:t>
      </w:r>
    </w:p>
    <w:p w14:paraId="76D0EA0E">
      <w:pPr>
        <w:adjustRightInd w:val="0"/>
        <w:snapToGrid w:val="0"/>
        <w:spacing w:line="380" w:lineRule="exact"/>
        <w:ind w:right="29" w:rightChars="14" w:firstLine="480" w:firstLineChars="200"/>
        <w:rPr>
          <w:rFonts w:ascii="宋体" w:hAnsi="宋体" w:cs="宋体"/>
          <w:sz w:val="24"/>
        </w:rPr>
      </w:pPr>
    </w:p>
    <w:p w14:paraId="2B04B341">
      <w:pPr>
        <w:pStyle w:val="11"/>
        <w:spacing w:line="380" w:lineRule="exact"/>
        <w:ind w:firstLine="480" w:firstLineChars="200"/>
        <w:rPr>
          <w:rFonts w:ascii="宋体" w:hAnsi="宋体" w:cs="宋体"/>
          <w:sz w:val="24"/>
        </w:rPr>
      </w:pPr>
      <w:r>
        <w:rPr>
          <w:rFonts w:hint="eastAsia" w:ascii="宋体" w:hAnsi="宋体" w:cs="宋体"/>
          <w:sz w:val="24"/>
        </w:rPr>
        <w:t>根据贵方《</w:t>
      </w:r>
      <w:r>
        <w:rPr>
          <w:rFonts w:hint="eastAsia" w:ascii="宋体" w:hAnsi="宋体" w:cs="宋体"/>
          <w:bCs/>
          <w:sz w:val="24"/>
        </w:rPr>
        <w:t>磋商文件</w:t>
      </w:r>
      <w:r>
        <w:rPr>
          <w:rFonts w:hint="eastAsia" w:ascii="宋体" w:hAnsi="宋体" w:cs="宋体"/>
          <w:sz w:val="24"/>
        </w:rPr>
        <w:t>》</w:t>
      </w:r>
      <w:r>
        <w:rPr>
          <w:rFonts w:hint="eastAsia" w:ascii="宋体" w:hAnsi="宋体" w:cs="宋体"/>
          <w:b/>
          <w:bCs/>
          <w:sz w:val="24"/>
        </w:rPr>
        <w:t>（项目编号及名称：</w:t>
      </w:r>
      <w:r>
        <w:rPr>
          <w:rFonts w:hint="eastAsia" w:ascii="宋体" w:hAnsi="宋体" w:cs="宋体"/>
          <w:b/>
          <w:bCs/>
          <w:sz w:val="24"/>
          <w:u w:val="single"/>
        </w:rPr>
        <w:t>2024H11025</w:t>
      </w:r>
      <w:r>
        <w:rPr>
          <w:rFonts w:hint="eastAsia" w:cs="华文楷体" w:asciiTheme="minorEastAsia" w:hAnsiTheme="minorEastAsia" w:eastAsiaTheme="minorEastAsia"/>
          <w:b/>
          <w:color w:val="000000" w:themeColor="text1"/>
          <w:sz w:val="24"/>
          <w:u w:val="single"/>
        </w:rPr>
        <w:t>安全智能实验室项目</w:t>
      </w:r>
      <w:r>
        <w:rPr>
          <w:rFonts w:hint="eastAsia" w:ascii="宋体" w:hAnsi="宋体" w:cs="宋体"/>
          <w:b/>
          <w:bCs/>
          <w:sz w:val="24"/>
        </w:rPr>
        <w:t>）</w:t>
      </w:r>
      <w:r>
        <w:rPr>
          <w:rFonts w:hint="eastAsia" w:ascii="宋体" w:hAnsi="宋体" w:cs="宋体"/>
          <w:sz w:val="24"/>
        </w:rPr>
        <w:t>要求，本供应商正式提交以下首次响应文件。</w:t>
      </w:r>
    </w:p>
    <w:p w14:paraId="7A5F388D">
      <w:pPr>
        <w:pStyle w:val="11"/>
        <w:numPr>
          <w:ilvl w:val="0"/>
          <w:numId w:val="8"/>
        </w:numPr>
        <w:spacing w:line="380" w:lineRule="exact"/>
        <w:ind w:firstLine="480"/>
        <w:rPr>
          <w:rFonts w:ascii="宋体" w:hAnsi="宋体" w:cs="宋体"/>
          <w:sz w:val="24"/>
        </w:rPr>
      </w:pPr>
      <w:r>
        <w:rPr>
          <w:rFonts w:ascii="宋体" w:hAnsi="宋体" w:cs="宋体"/>
          <w:sz w:val="24"/>
        </w:rPr>
        <w:pict>
          <v:line id="Line 2" o:spid="_x0000_s1031" o:spt="20" style="position:absolute;left:0pt;flip:y;margin-left:147pt;margin-top:1.3pt;height:1.3pt;width:0.05pt;z-index:251661312;mso-width-relative:page;mso-height-relative:page;" coordsize="21600,21600" o:allowincell="f" o:gfxdata="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Z+/LjVAAAABwEAAA8A&#10;AAAAAAAAAQAgAAAAIgAAAGRycy9kb3ducmV2LnhtbFBLAQIUABQAAAAIAIdO4kCA415w4QEAAOMD&#10;AAAOAAAAAAAAAAEAIAAAACQBAABkcnMvZTJvRG9jLnhtbFBLBQYAAAAABgAGAFkBAAB3BQAAAAA=&#10;">
            <v:path arrowok="t"/>
            <v:fill focussize="0,0"/>
            <v:stroke/>
            <v:imagedata o:title=""/>
            <o:lock v:ext="edit"/>
          </v:line>
        </w:pict>
      </w:r>
      <w:r>
        <w:rPr>
          <w:rFonts w:hint="eastAsia" w:ascii="宋体" w:hAnsi="宋体" w:cs="宋体"/>
          <w:sz w:val="24"/>
        </w:rPr>
        <w:t xml:space="preserve">承诺书； </w:t>
      </w:r>
    </w:p>
    <w:p w14:paraId="5E8CDAA4">
      <w:pPr>
        <w:pStyle w:val="11"/>
        <w:numPr>
          <w:ilvl w:val="0"/>
          <w:numId w:val="8"/>
        </w:numPr>
        <w:spacing w:line="380" w:lineRule="exact"/>
        <w:ind w:firstLine="480"/>
        <w:rPr>
          <w:rFonts w:ascii="宋体" w:hAnsi="宋体" w:cs="宋体"/>
          <w:sz w:val="24"/>
        </w:rPr>
      </w:pPr>
      <w:r>
        <w:rPr>
          <w:rFonts w:hint="eastAsia" w:ascii="宋体" w:hAnsi="宋体" w:cs="宋体"/>
          <w:sz w:val="24"/>
        </w:rPr>
        <w:t>授权委托书；</w:t>
      </w:r>
    </w:p>
    <w:p w14:paraId="01917DFB">
      <w:pPr>
        <w:pStyle w:val="11"/>
        <w:numPr>
          <w:ilvl w:val="0"/>
          <w:numId w:val="8"/>
        </w:numPr>
        <w:spacing w:line="380" w:lineRule="exact"/>
        <w:ind w:firstLine="480"/>
        <w:rPr>
          <w:rFonts w:ascii="宋体" w:hAnsi="宋体" w:cs="宋体"/>
          <w:sz w:val="24"/>
        </w:rPr>
      </w:pPr>
      <w:r>
        <w:rPr>
          <w:rFonts w:hint="eastAsia" w:ascii="宋体" w:hAnsi="宋体" w:cs="宋体"/>
          <w:sz w:val="24"/>
        </w:rPr>
        <w:t>磋商报价表；</w:t>
      </w:r>
    </w:p>
    <w:p w14:paraId="40F1E8B6">
      <w:pPr>
        <w:pStyle w:val="11"/>
        <w:numPr>
          <w:ilvl w:val="0"/>
          <w:numId w:val="8"/>
        </w:numPr>
        <w:spacing w:line="380" w:lineRule="exact"/>
        <w:ind w:firstLine="480"/>
        <w:rPr>
          <w:rFonts w:ascii="宋体" w:hAnsi="宋体" w:cs="宋体"/>
          <w:sz w:val="24"/>
        </w:rPr>
      </w:pPr>
      <w:r>
        <w:rPr>
          <w:rFonts w:hint="eastAsia" w:ascii="宋体" w:hAnsi="宋体" w:cs="宋体"/>
          <w:sz w:val="24"/>
        </w:rPr>
        <w:t>偏离表；</w:t>
      </w:r>
    </w:p>
    <w:p w14:paraId="5C2BEA21">
      <w:pPr>
        <w:pStyle w:val="11"/>
        <w:spacing w:line="380" w:lineRule="exact"/>
        <w:ind w:firstLine="480"/>
        <w:rPr>
          <w:rFonts w:ascii="宋体" w:hAnsi="宋体" w:cs="宋体"/>
          <w:sz w:val="24"/>
        </w:rPr>
      </w:pPr>
      <w:r>
        <w:rPr>
          <w:rFonts w:hint="eastAsia" w:ascii="宋体" w:hAnsi="宋体" w:cs="宋体"/>
          <w:sz w:val="24"/>
        </w:rPr>
        <w:t>（3）磋商</w:t>
      </w:r>
      <w:r>
        <w:rPr>
          <w:rFonts w:hint="eastAsia" w:ascii="宋体" w:hAnsi="宋体" w:cs="宋体"/>
          <w:bCs/>
          <w:sz w:val="24"/>
        </w:rPr>
        <w:t>文件</w:t>
      </w:r>
      <w:r>
        <w:rPr>
          <w:rFonts w:hint="eastAsia" w:ascii="宋体" w:hAnsi="宋体" w:cs="宋体"/>
          <w:sz w:val="24"/>
        </w:rPr>
        <w:t>要求提供的其他响应文件。</w:t>
      </w:r>
    </w:p>
    <w:p w14:paraId="39C864EA">
      <w:pPr>
        <w:pStyle w:val="11"/>
        <w:spacing w:line="380" w:lineRule="exact"/>
        <w:ind w:firstLine="480"/>
        <w:rPr>
          <w:rFonts w:ascii="宋体" w:hAnsi="宋体" w:cs="宋体"/>
          <w:sz w:val="24"/>
        </w:rPr>
      </w:pPr>
    </w:p>
    <w:p w14:paraId="04157239">
      <w:pPr>
        <w:pStyle w:val="11"/>
        <w:spacing w:line="380" w:lineRule="exact"/>
        <w:ind w:firstLine="480"/>
        <w:rPr>
          <w:rFonts w:ascii="宋体" w:hAnsi="宋体" w:cs="宋体"/>
          <w:sz w:val="24"/>
        </w:rPr>
      </w:pPr>
      <w:r>
        <w:rPr>
          <w:rFonts w:hint="eastAsia" w:ascii="宋体" w:hAnsi="宋体" w:cs="宋体"/>
          <w:sz w:val="24"/>
        </w:rPr>
        <w:t>我单位符合本项目供应商资格要求。</w:t>
      </w:r>
    </w:p>
    <w:p w14:paraId="31D33E7C">
      <w:pPr>
        <w:pStyle w:val="11"/>
        <w:spacing w:line="380" w:lineRule="exact"/>
        <w:ind w:firstLine="480"/>
        <w:rPr>
          <w:rFonts w:ascii="宋体" w:hAnsi="宋体" w:cs="宋体"/>
          <w:sz w:val="24"/>
        </w:rPr>
      </w:pPr>
      <w:r>
        <w:rPr>
          <w:rFonts w:hint="eastAsia" w:ascii="宋体" w:hAnsi="宋体" w:cs="宋体"/>
          <w:sz w:val="24"/>
        </w:rPr>
        <w:t>我单位按照磋商文件的要求编制响应文件，并对其提交的响应文件的真实性、合法性承担法律责任。</w:t>
      </w:r>
    </w:p>
    <w:p w14:paraId="5A2F1E61">
      <w:pPr>
        <w:pStyle w:val="11"/>
        <w:spacing w:line="380" w:lineRule="exact"/>
        <w:ind w:firstLine="480"/>
        <w:rPr>
          <w:rFonts w:ascii="宋体" w:hAnsi="宋体" w:cs="宋体"/>
          <w:sz w:val="24"/>
        </w:rPr>
      </w:pPr>
    </w:p>
    <w:p w14:paraId="2436CB9B">
      <w:pPr>
        <w:adjustRightInd w:val="0"/>
        <w:snapToGrid w:val="0"/>
        <w:spacing w:line="380" w:lineRule="exact"/>
        <w:ind w:right="29" w:rightChars="14" w:firstLine="480" w:firstLineChars="200"/>
        <w:rPr>
          <w:rFonts w:ascii="宋体" w:hAnsi="宋体" w:cs="宋体"/>
          <w:sz w:val="24"/>
        </w:rPr>
      </w:pPr>
      <w:r>
        <w:rPr>
          <w:rFonts w:hint="eastAsia" w:ascii="宋体" w:hAnsi="宋体" w:cs="宋体"/>
          <w:sz w:val="24"/>
        </w:rPr>
        <w:t xml:space="preserve">供应商兹宣布同意如下: </w:t>
      </w:r>
    </w:p>
    <w:p w14:paraId="27A1FFB6">
      <w:pPr>
        <w:pStyle w:val="11"/>
        <w:spacing w:line="380" w:lineRule="exact"/>
        <w:ind w:firstLine="480" w:firstLineChars="200"/>
        <w:rPr>
          <w:rFonts w:ascii="宋体" w:hAnsi="宋体" w:cs="宋体"/>
          <w:sz w:val="24"/>
        </w:rPr>
      </w:pPr>
      <w:r>
        <w:rPr>
          <w:rFonts w:ascii="宋体" w:hAnsi="宋体" w:cs="宋体"/>
          <w:sz w:val="24"/>
        </w:rPr>
        <w:pict>
          <v:line id="Line 4" o:spid="_x0000_s1030" o:spt="20" style="position:absolute;left:0pt;margin-left:246.75pt;margin-top:23.4pt;height:0pt;width:0.05pt;z-index:251663360;mso-width-relative:page;mso-height-relative:page;" coordsize="21600,21600" o:allowincell="f" o:gfxdata="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YLeg81QAAAAkBAAAPAAAAAAAAAAEAIAAA&#10;ACIAAABkcnMvZG93bnJldi54bWxQSwECFAAUAAAACACHTuJAm8jQrNYBAADVAwAADgAAAAAAAAAB&#10;ACAAAAAkAQAAZHJzL2Uyb0RvYy54bWxQSwUGAAAAAAYABgBZAQAAbAUAAAAA&#10;">
            <v:path arrowok="t"/>
            <v:fill focussize="0,0"/>
            <v:stroke/>
            <v:imagedata o:title=""/>
            <o:lock v:ext="edit"/>
          </v:line>
        </w:pict>
      </w:r>
      <w:r>
        <w:rPr>
          <w:rFonts w:ascii="宋体" w:hAnsi="宋体" w:cs="宋体"/>
          <w:sz w:val="24"/>
        </w:rPr>
        <w:pict>
          <v:line id="Line 3" o:spid="_x0000_s1029" o:spt="20" style="position:absolute;left:0pt;margin-left:220.5pt;margin-top:46.8pt;height:0pt;width:0.05pt;z-index:251662336;mso-width-relative:page;mso-height-relative:page;" coordsize="21600,21600" o:allowincell="f" o:gfxdata="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k/a6W9YAAAAJAQAADwAAAAAAAAABACAA&#10;AAAiAAAAZHJzL2Rvd25yZXYueG1sUEsBAhQAFAAAAAgAh07iQGUCTEXWAQAA1QMAAA4AAAAAAAAA&#10;AQAgAAAAJQEAAGRycy9lMm9Eb2MueG1sUEsFBgAAAAAGAAYAWQEAAG0FAAAAAA==&#10;">
            <v:path arrowok="t"/>
            <v:fill focussize="0,0"/>
            <v:stroke/>
            <v:imagedata o:title=""/>
            <o:lock v:ext="edit"/>
          </v:line>
        </w:pict>
      </w:r>
      <w:r>
        <w:rPr>
          <w:rFonts w:hint="eastAsia" w:ascii="宋体" w:hAnsi="宋体" w:cs="宋体"/>
          <w:sz w:val="24"/>
        </w:rPr>
        <w:t>一、完全承担根据《磋商文件》规定完成合同的责任和义务（如有偏离，将全部填写在偏离表中）。</w:t>
      </w:r>
    </w:p>
    <w:p w14:paraId="1F70491A">
      <w:pPr>
        <w:pStyle w:val="11"/>
        <w:spacing w:line="380" w:lineRule="exact"/>
        <w:ind w:firstLine="480" w:firstLineChars="200"/>
        <w:rPr>
          <w:rFonts w:ascii="宋体" w:hAnsi="宋体" w:cs="宋体"/>
          <w:sz w:val="24"/>
        </w:rPr>
      </w:pPr>
      <w:r>
        <w:rPr>
          <w:rFonts w:ascii="宋体" w:hAnsi="宋体" w:cs="宋体"/>
          <w:sz w:val="24"/>
        </w:rPr>
        <w:pict>
          <v:line id="Line 5" o:spid="_x0000_s1028" o:spt="20" style="position:absolute;left:0pt;margin-left:210pt;margin-top:19.5pt;height:0pt;width:0.05pt;z-index:251664384;mso-width-relative:page;mso-height-relative:page;"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h6NQDVAAAACQEAAA8AAAAAAAAAAQAgAAAA&#10;IgAAAGRycy9kb3ducmV2LnhtbFBLAQIUABQAAAAIAIdO4kCh7Avv1QEAANUDAAAOAAAAAAAAAAEA&#10;IAAAACQBAABkcnMvZTJvRG9jLnhtbFBLBQYAAAAABgAGAFkBAABrBQAAAAA=&#10;">
            <v:path arrowok="t"/>
            <v:fill focussize="0,0"/>
            <v:stroke/>
            <v:imagedata o:title=""/>
            <o:lock v:ext="edit"/>
          </v:line>
        </w:pict>
      </w:r>
      <w:r>
        <w:rPr>
          <w:rFonts w:ascii="宋体" w:hAnsi="宋体" w:cs="宋体"/>
          <w:sz w:val="24"/>
        </w:rPr>
        <w:pict>
          <v:line id="Line 6" o:spid="_x0000_s1027" o:spt="20" style="position:absolute;left:0pt;margin-left:210pt;margin-top:19.5pt;height:0pt;width:0.05pt;z-index:251665408;mso-width-relative:page;mso-height-relative:page;"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h6NQDVAAAACQEAAA8AAAAAAAAAAQAgAAAA&#10;IgAAAGRycy9kb3ducmV2LnhtbFBLAQIUABQAAAAIAIdO4kBI7c8z1QEAANUDAAAOAAAAAAAAAAEA&#10;IAAAACQBAABkcnMvZTJvRG9jLnhtbFBLBQYAAAAABgAGAFkBAABrBQAAAAA=&#10;">
            <v:path arrowok="t"/>
            <v:fill focussize="0,0"/>
            <v:stroke/>
            <v:imagedata o:title=""/>
            <o:lock v:ext="edit"/>
          </v:line>
        </w:pict>
      </w:r>
      <w:r>
        <w:rPr>
          <w:rFonts w:hint="eastAsia" w:ascii="宋体" w:hAnsi="宋体" w:cs="宋体"/>
          <w:sz w:val="24"/>
        </w:rPr>
        <w:t>二、保证所提供的响应文件及所有材料的真实、合法、有效，并对其负责。</w:t>
      </w:r>
    </w:p>
    <w:p w14:paraId="2FA345FC">
      <w:pPr>
        <w:spacing w:line="380" w:lineRule="exact"/>
        <w:ind w:firstLine="480" w:firstLineChars="200"/>
        <w:rPr>
          <w:rFonts w:ascii="宋体" w:hAnsi="宋体" w:cs="宋体"/>
          <w:sz w:val="24"/>
        </w:rPr>
      </w:pPr>
      <w:r>
        <w:rPr>
          <w:rFonts w:hint="eastAsia" w:ascii="宋体" w:hAnsi="宋体" w:cs="宋体"/>
          <w:sz w:val="24"/>
        </w:rPr>
        <w:t>三、已详细审核竞争性磋商文件（含竞争性磋商文件</w:t>
      </w:r>
      <w:r>
        <w:rPr>
          <w:rFonts w:hint="eastAsia" w:ascii="宋体" w:hAnsi="宋体" w:cs="宋体"/>
          <w:kern w:val="0"/>
          <w:sz w:val="24"/>
        </w:rPr>
        <w:t>的澄清或者修改</w:t>
      </w:r>
      <w:r>
        <w:rPr>
          <w:rFonts w:hint="eastAsia" w:ascii="宋体" w:hAnsi="宋体" w:cs="宋体"/>
          <w:sz w:val="24"/>
        </w:rPr>
        <w:t>），本供应商完全理解并同意放弃对这方面不明及误解的权利。</w:t>
      </w:r>
    </w:p>
    <w:p w14:paraId="54BB1DE3">
      <w:pPr>
        <w:adjustRightInd w:val="0"/>
        <w:snapToGrid w:val="0"/>
        <w:spacing w:line="380" w:lineRule="exact"/>
        <w:ind w:right="29" w:rightChars="14" w:firstLine="480" w:firstLineChars="200"/>
        <w:rPr>
          <w:rFonts w:ascii="宋体" w:hAnsi="宋体" w:cs="宋体"/>
          <w:sz w:val="24"/>
        </w:rPr>
      </w:pPr>
      <w:r>
        <w:rPr>
          <w:rFonts w:hint="eastAsia" w:ascii="宋体" w:hAnsi="宋体" w:cs="宋体"/>
          <w:sz w:val="24"/>
        </w:rPr>
        <w:t>四、所供货物保证符合国家有关产品质量、性能和安全标准，无权利瑕疵。</w:t>
      </w:r>
    </w:p>
    <w:p w14:paraId="75934F67">
      <w:pPr>
        <w:adjustRightInd w:val="0"/>
        <w:snapToGrid w:val="0"/>
        <w:spacing w:line="380" w:lineRule="exact"/>
        <w:ind w:right="29" w:rightChars="14" w:firstLine="480" w:firstLineChars="200"/>
        <w:rPr>
          <w:rFonts w:ascii="宋体" w:hAnsi="宋体" w:cs="宋体"/>
          <w:sz w:val="24"/>
        </w:rPr>
      </w:pPr>
      <w:r>
        <w:rPr>
          <w:rFonts w:hint="eastAsia" w:ascii="宋体" w:hAnsi="宋体" w:cs="宋体"/>
          <w:sz w:val="24"/>
        </w:rPr>
        <w:t>五、有效期为90个工作日。</w:t>
      </w:r>
    </w:p>
    <w:p w14:paraId="2DF0F9C8">
      <w:pPr>
        <w:adjustRightInd w:val="0"/>
        <w:snapToGrid w:val="0"/>
        <w:spacing w:line="380" w:lineRule="exact"/>
        <w:ind w:right="29" w:rightChars="14" w:firstLine="480" w:firstLineChars="200"/>
        <w:rPr>
          <w:rFonts w:ascii="宋体" w:hAnsi="宋体" w:cs="宋体"/>
          <w:sz w:val="24"/>
        </w:rPr>
      </w:pPr>
      <w:r>
        <w:rPr>
          <w:rFonts w:hint="eastAsia" w:ascii="宋体" w:hAnsi="宋体" w:cs="宋体"/>
          <w:sz w:val="24"/>
        </w:rPr>
        <w:t>六、同意向贵方提供贵方可能要求的与本次磋商采购有关的任何证据或资料。</w:t>
      </w:r>
    </w:p>
    <w:p w14:paraId="4370DE2B">
      <w:pPr>
        <w:adjustRightInd w:val="0"/>
        <w:snapToGrid w:val="0"/>
        <w:spacing w:line="380" w:lineRule="exact"/>
        <w:ind w:right="29" w:rightChars="14" w:firstLine="480" w:firstLineChars="200"/>
        <w:rPr>
          <w:rFonts w:ascii="宋体" w:hAnsi="宋体" w:cs="宋体"/>
          <w:sz w:val="24"/>
        </w:rPr>
      </w:pPr>
      <w:r>
        <w:rPr>
          <w:rFonts w:hint="eastAsia" w:ascii="宋体" w:hAnsi="宋体" w:cs="宋体"/>
          <w:sz w:val="24"/>
        </w:rPr>
        <w:t>七、供应商同意在授予合同后，按照磋商文件的有关规定支付代理服务费。</w:t>
      </w:r>
    </w:p>
    <w:p w14:paraId="1E392132">
      <w:pPr>
        <w:adjustRightInd w:val="0"/>
        <w:snapToGrid w:val="0"/>
        <w:spacing w:line="380" w:lineRule="exact"/>
        <w:ind w:right="29" w:rightChars="14" w:firstLine="480" w:firstLineChars="200"/>
        <w:rPr>
          <w:rFonts w:ascii="宋体" w:hAnsi="宋体" w:cs="宋体"/>
          <w:sz w:val="24"/>
        </w:rPr>
      </w:pPr>
    </w:p>
    <w:p w14:paraId="6114DBAB">
      <w:pPr>
        <w:adjustRightInd w:val="0"/>
        <w:snapToGrid w:val="0"/>
        <w:spacing w:line="380" w:lineRule="exact"/>
        <w:ind w:right="29" w:rightChars="14" w:firstLine="480" w:firstLineChars="200"/>
        <w:rPr>
          <w:rFonts w:ascii="宋体" w:hAnsi="宋体" w:cs="宋体"/>
          <w:sz w:val="24"/>
        </w:rPr>
      </w:pPr>
    </w:p>
    <w:p w14:paraId="63A0469F">
      <w:pPr>
        <w:spacing w:line="380" w:lineRule="exact"/>
        <w:rPr>
          <w:rFonts w:ascii="宋体" w:hAnsi="宋体" w:cs="宋体"/>
          <w:sz w:val="24"/>
        </w:rPr>
      </w:pPr>
    </w:p>
    <w:p w14:paraId="79028CA4">
      <w:pPr>
        <w:adjustRightInd w:val="0"/>
        <w:snapToGrid w:val="0"/>
        <w:spacing w:line="380" w:lineRule="exact"/>
        <w:ind w:right="29" w:rightChars="14" w:firstLine="3960" w:firstLineChars="1650"/>
        <w:rPr>
          <w:rFonts w:ascii="宋体" w:hAnsi="宋体" w:cs="宋体"/>
          <w:sz w:val="24"/>
        </w:rPr>
      </w:pPr>
      <w:r>
        <w:rPr>
          <w:rFonts w:hint="eastAsia" w:ascii="宋体" w:hAnsi="宋体" w:cs="宋体"/>
          <w:sz w:val="24"/>
        </w:rPr>
        <w:t>供应商（公章）：</w:t>
      </w:r>
    </w:p>
    <w:p w14:paraId="41F2E8C7">
      <w:pPr>
        <w:adjustRightInd w:val="0"/>
        <w:snapToGrid w:val="0"/>
        <w:spacing w:line="380" w:lineRule="exact"/>
        <w:ind w:right="29" w:rightChars="14" w:firstLine="3960" w:firstLineChars="1650"/>
        <w:rPr>
          <w:rFonts w:ascii="宋体" w:hAnsi="宋体" w:cs="宋体"/>
          <w:sz w:val="24"/>
        </w:rPr>
      </w:pPr>
      <w:r>
        <w:rPr>
          <w:rFonts w:hint="eastAsia" w:ascii="宋体" w:hAnsi="宋体" w:cs="宋体"/>
          <w:sz w:val="24"/>
        </w:rPr>
        <w:t xml:space="preserve">法定代表人或授权代表（签字或盖章）：  </w:t>
      </w:r>
    </w:p>
    <w:p w14:paraId="1D437D88">
      <w:pPr>
        <w:adjustRightInd w:val="0"/>
        <w:snapToGrid w:val="0"/>
        <w:spacing w:line="380" w:lineRule="exact"/>
        <w:ind w:firstLine="3960" w:firstLineChars="1650"/>
        <w:rPr>
          <w:rFonts w:ascii="宋体" w:hAnsi="宋体" w:cs="宋体"/>
          <w:sz w:val="24"/>
        </w:rPr>
      </w:pPr>
      <w:r>
        <w:rPr>
          <w:rFonts w:hint="eastAsia" w:ascii="宋体" w:hAnsi="宋体" w:cs="宋体"/>
          <w:sz w:val="24"/>
        </w:rPr>
        <w:t>联系电话：</w:t>
      </w:r>
    </w:p>
    <w:p w14:paraId="3AD3D156">
      <w:pPr>
        <w:adjustRightInd w:val="0"/>
        <w:snapToGrid w:val="0"/>
        <w:spacing w:line="380" w:lineRule="exact"/>
        <w:ind w:firstLine="3960" w:firstLineChars="1650"/>
        <w:rPr>
          <w:rFonts w:ascii="宋体" w:hAnsi="宋体" w:cs="宋体"/>
          <w:sz w:val="24"/>
        </w:rPr>
      </w:pPr>
      <w:r>
        <w:rPr>
          <w:rFonts w:hint="eastAsia" w:ascii="宋体" w:hAnsi="宋体" w:cs="宋体"/>
          <w:sz w:val="24"/>
        </w:rPr>
        <w:t>移动电话：</w:t>
      </w:r>
    </w:p>
    <w:p w14:paraId="22F19F23">
      <w:pPr>
        <w:adjustRightInd w:val="0"/>
        <w:snapToGrid w:val="0"/>
        <w:spacing w:line="380" w:lineRule="exact"/>
        <w:ind w:right="29" w:rightChars="14" w:firstLine="3960" w:firstLineChars="1650"/>
        <w:rPr>
          <w:rFonts w:ascii="宋体" w:hAnsi="宋体" w:cs="宋体"/>
          <w:sz w:val="24"/>
        </w:rPr>
      </w:pPr>
      <w:r>
        <w:rPr>
          <w:rFonts w:hint="eastAsia" w:ascii="宋体" w:hAnsi="宋体" w:cs="宋体"/>
          <w:sz w:val="24"/>
        </w:rPr>
        <w:t>日期：</w:t>
      </w:r>
    </w:p>
    <w:p w14:paraId="4EFADE4E">
      <w:pPr>
        <w:adjustRightInd w:val="0"/>
        <w:snapToGrid w:val="0"/>
        <w:spacing w:line="380" w:lineRule="exact"/>
        <w:ind w:right="29" w:rightChars="14"/>
        <w:rPr>
          <w:rFonts w:ascii="宋体" w:hAnsi="宋体" w:cs="宋体"/>
          <w:sz w:val="24"/>
        </w:rPr>
      </w:pPr>
    </w:p>
    <w:p w14:paraId="4BE7DFFE">
      <w:pPr>
        <w:pStyle w:val="14"/>
        <w:tabs>
          <w:tab w:val="left" w:pos="1402"/>
        </w:tabs>
        <w:ind w:firstLine="0" w:firstLineChars="0"/>
        <w:rPr>
          <w:rFonts w:cs="华文楷体" w:asciiTheme="minorEastAsia" w:hAnsiTheme="minorEastAsia" w:eastAsiaTheme="minorEastAsia"/>
          <w:b/>
          <w:color w:val="000000" w:themeColor="text1"/>
          <w:sz w:val="28"/>
          <w:szCs w:val="28"/>
          <w:highlight w:val="yellow"/>
        </w:rPr>
      </w:pPr>
    </w:p>
    <w:p w14:paraId="4937F3E9">
      <w:pPr>
        <w:pStyle w:val="14"/>
        <w:tabs>
          <w:tab w:val="left" w:pos="1402"/>
        </w:tabs>
        <w:ind w:firstLine="0" w:firstLineChars="0"/>
        <w:rPr>
          <w:rFonts w:cs="华文楷体" w:asciiTheme="minorEastAsia" w:hAnsiTheme="minorEastAsia" w:eastAsiaTheme="minorEastAsia"/>
          <w:b/>
          <w:color w:val="000000" w:themeColor="text1"/>
          <w:sz w:val="28"/>
          <w:szCs w:val="28"/>
          <w:highlight w:val="yellow"/>
        </w:rPr>
      </w:pPr>
    </w:p>
    <w:p w14:paraId="0D4FAAC3">
      <w:pPr>
        <w:pStyle w:val="14"/>
        <w:tabs>
          <w:tab w:val="left" w:pos="1402"/>
        </w:tabs>
        <w:ind w:firstLine="0" w:firstLineChars="0"/>
        <w:rPr>
          <w:rFonts w:cs="华文楷体" w:asciiTheme="minorEastAsia" w:hAnsiTheme="minorEastAsia" w:eastAsiaTheme="minorEastAsia"/>
          <w:b/>
          <w:color w:val="000000" w:themeColor="text1"/>
          <w:sz w:val="28"/>
          <w:szCs w:val="28"/>
          <w:highlight w:val="yellow"/>
        </w:rPr>
      </w:pPr>
      <w:r>
        <w:rPr>
          <w:rFonts w:hint="eastAsia" w:cs="华文楷体" w:asciiTheme="minorEastAsia" w:hAnsiTheme="minorEastAsia" w:eastAsiaTheme="minorEastAsia"/>
          <w:b/>
          <w:color w:val="000000" w:themeColor="text1"/>
          <w:sz w:val="28"/>
          <w:szCs w:val="28"/>
          <w:highlight w:val="yellow"/>
        </w:rPr>
        <w:t>（七）具备履行合同所必需的设备和专业技术能力的书面声明（附证明材料）</w:t>
      </w:r>
    </w:p>
    <w:p w14:paraId="785F936F">
      <w:pPr>
        <w:spacing w:line="480" w:lineRule="exact"/>
        <w:ind w:firstLine="560" w:firstLineChars="200"/>
        <w:rPr>
          <w:sz w:val="28"/>
          <w:szCs w:val="28"/>
        </w:rPr>
      </w:pPr>
    </w:p>
    <w:p w14:paraId="5AC37ADC">
      <w:pPr>
        <w:spacing w:line="480" w:lineRule="exact"/>
        <w:ind w:firstLine="482" w:firstLineChars="200"/>
        <w:rPr>
          <w:rFonts w:cs="华文楷体" w:asciiTheme="minorEastAsia" w:hAnsiTheme="minorEastAsia" w:eastAsiaTheme="minorEastAsia"/>
          <w:b/>
          <w:bCs/>
          <w:color w:val="000000" w:themeColor="text1"/>
          <w:kern w:val="0"/>
          <w:sz w:val="24"/>
          <w:szCs w:val="20"/>
        </w:rPr>
      </w:pPr>
      <w:r>
        <w:rPr>
          <w:rFonts w:hint="eastAsia" w:cs="华文楷体" w:asciiTheme="minorEastAsia" w:hAnsiTheme="minorEastAsia" w:eastAsiaTheme="minorEastAsia"/>
          <w:b/>
          <w:bCs/>
          <w:color w:val="000000" w:themeColor="text1"/>
          <w:kern w:val="0"/>
          <w:sz w:val="24"/>
          <w:szCs w:val="20"/>
        </w:rPr>
        <w:t>项目名称：</w:t>
      </w:r>
    </w:p>
    <w:p w14:paraId="28298ECB">
      <w:pPr>
        <w:spacing w:line="480" w:lineRule="exact"/>
        <w:ind w:firstLine="482" w:firstLineChars="200"/>
        <w:rPr>
          <w:rFonts w:cs="华文楷体" w:asciiTheme="minorEastAsia" w:hAnsiTheme="minorEastAsia" w:eastAsiaTheme="minorEastAsia"/>
          <w:b/>
          <w:bCs/>
          <w:color w:val="000000" w:themeColor="text1"/>
          <w:kern w:val="0"/>
          <w:sz w:val="24"/>
          <w:szCs w:val="20"/>
        </w:rPr>
      </w:pPr>
      <w:r>
        <w:rPr>
          <w:rFonts w:hint="eastAsia" w:cs="华文楷体" w:asciiTheme="minorEastAsia" w:hAnsiTheme="minorEastAsia" w:eastAsiaTheme="minorEastAsia"/>
          <w:b/>
          <w:bCs/>
          <w:color w:val="000000" w:themeColor="text1"/>
          <w:kern w:val="0"/>
          <w:sz w:val="24"/>
          <w:szCs w:val="20"/>
        </w:rPr>
        <w:t>项目编号：</w:t>
      </w:r>
    </w:p>
    <w:p w14:paraId="7187F190">
      <w:pPr>
        <w:spacing w:line="480" w:lineRule="exact"/>
        <w:ind w:firstLine="600" w:firstLineChars="200"/>
        <w:rPr>
          <w:rFonts w:ascii="宋体" w:hAnsi="宋体" w:cs="宋体"/>
          <w:sz w:val="30"/>
          <w:szCs w:val="30"/>
        </w:rPr>
      </w:pPr>
    </w:p>
    <w:p w14:paraId="447A289A">
      <w:pPr>
        <w:spacing w:line="480" w:lineRule="exact"/>
        <w:ind w:firstLine="480" w:firstLineChars="200"/>
        <w:rPr>
          <w:rFonts w:ascii="宋体" w:hAnsi="宋体" w:cs="宋体"/>
          <w:sz w:val="24"/>
        </w:rPr>
      </w:pPr>
      <w:r>
        <w:rPr>
          <w:rFonts w:hint="eastAsia" w:ascii="宋体" w:hAnsi="宋体" w:cs="宋体"/>
          <w:sz w:val="24"/>
        </w:rPr>
        <w:t>本供应商郑重声明：供应商具备履行合同（</w:t>
      </w:r>
      <w:r>
        <w:rPr>
          <w:rFonts w:hint="eastAsia" w:ascii="宋体" w:hAnsi="宋体" w:cs="宋体"/>
          <w:b/>
          <w:sz w:val="24"/>
          <w:u w:val="single"/>
        </w:rPr>
        <w:t>项目名称：</w:t>
      </w:r>
      <w:r>
        <w:rPr>
          <w:rFonts w:hint="eastAsia" w:ascii="宋体" w:hAnsi="宋体" w:cs="宋体"/>
          <w:b/>
          <w:sz w:val="24"/>
          <w:u w:val="single"/>
          <w:lang w:val="en-US" w:eastAsia="zh-CN"/>
        </w:rPr>
        <w:t xml:space="preserve">        </w:t>
      </w:r>
      <w:r>
        <w:rPr>
          <w:rFonts w:hint="eastAsia" w:ascii="宋体" w:hAnsi="宋体" w:cs="宋体"/>
          <w:b/>
          <w:sz w:val="24"/>
          <w:u w:val="single"/>
        </w:rPr>
        <w:t>，项目编号：</w:t>
      </w:r>
      <w:r>
        <w:rPr>
          <w:rFonts w:hint="eastAsia" w:ascii="宋体" w:hAnsi="宋体" w:cs="宋体"/>
          <w:b/>
          <w:sz w:val="24"/>
          <w:u w:val="single"/>
          <w:lang w:val="en-US" w:eastAsia="zh-CN"/>
        </w:rPr>
        <w:t xml:space="preserve">    </w:t>
      </w:r>
      <w:r>
        <w:rPr>
          <w:rFonts w:hint="eastAsia" w:ascii="宋体" w:hAnsi="宋体" w:cs="宋体"/>
          <w:sz w:val="24"/>
        </w:rPr>
        <w:t>）所必需的设备和专业技术能力，具体为：</w:t>
      </w:r>
    </w:p>
    <w:p w14:paraId="304C81DC">
      <w:pPr>
        <w:spacing w:line="480" w:lineRule="exact"/>
        <w:ind w:firstLine="480" w:firstLineChars="200"/>
        <w:rPr>
          <w:rFonts w:ascii="宋体" w:hAnsi="宋体" w:cs="宋体"/>
          <w:sz w:val="24"/>
        </w:rPr>
      </w:pPr>
      <w:r>
        <w:rPr>
          <w:rFonts w:hint="eastAsia" w:ascii="宋体" w:hAnsi="宋体" w:cs="宋体"/>
          <w:sz w:val="24"/>
        </w:rPr>
        <w:t>设备：</w:t>
      </w:r>
    </w:p>
    <w:p w14:paraId="1CBAA29B">
      <w:pPr>
        <w:spacing w:line="480" w:lineRule="exact"/>
        <w:ind w:firstLine="480" w:firstLineChars="200"/>
        <w:rPr>
          <w:rFonts w:ascii="宋体" w:hAnsi="宋体" w:cs="宋体"/>
          <w:sz w:val="24"/>
        </w:rPr>
      </w:pPr>
      <w:r>
        <w:rPr>
          <w:rFonts w:hint="eastAsia" w:ascii="宋体" w:hAnsi="宋体" w:cs="宋体"/>
          <w:sz w:val="24"/>
        </w:rPr>
        <w:t>1.（证明材料附后）</w:t>
      </w:r>
    </w:p>
    <w:p w14:paraId="67BC1C66">
      <w:pPr>
        <w:spacing w:line="480" w:lineRule="exact"/>
        <w:ind w:firstLine="480" w:firstLineChars="200"/>
        <w:rPr>
          <w:rFonts w:ascii="宋体" w:hAnsi="宋体" w:cs="宋体"/>
          <w:sz w:val="24"/>
        </w:rPr>
      </w:pPr>
      <w:r>
        <w:rPr>
          <w:rFonts w:hint="eastAsia" w:ascii="宋体" w:hAnsi="宋体" w:cs="宋体"/>
          <w:sz w:val="24"/>
        </w:rPr>
        <w:t>2.（证明材料附后）</w:t>
      </w:r>
    </w:p>
    <w:p w14:paraId="734DB323">
      <w:pPr>
        <w:spacing w:line="480" w:lineRule="exact"/>
        <w:ind w:firstLine="480" w:firstLineChars="200"/>
        <w:rPr>
          <w:rFonts w:ascii="宋体" w:hAnsi="宋体" w:cs="宋体"/>
          <w:sz w:val="24"/>
        </w:rPr>
      </w:pPr>
      <w:r>
        <w:rPr>
          <w:rFonts w:hint="eastAsia" w:ascii="宋体" w:hAnsi="宋体" w:cs="宋体"/>
          <w:sz w:val="24"/>
        </w:rPr>
        <w:t>3.（证明材料附后）</w:t>
      </w:r>
    </w:p>
    <w:p w14:paraId="4960796C">
      <w:pPr>
        <w:spacing w:line="480" w:lineRule="exact"/>
        <w:ind w:firstLine="480" w:firstLineChars="200"/>
        <w:rPr>
          <w:rFonts w:ascii="宋体" w:hAnsi="宋体" w:cs="宋体"/>
          <w:sz w:val="24"/>
        </w:rPr>
      </w:pPr>
      <w:r>
        <w:rPr>
          <w:rFonts w:hint="eastAsia" w:ascii="宋体" w:hAnsi="宋体" w:cs="宋体"/>
          <w:sz w:val="24"/>
        </w:rPr>
        <w:t>…………</w:t>
      </w:r>
    </w:p>
    <w:p w14:paraId="593FBCE9">
      <w:pPr>
        <w:spacing w:line="480" w:lineRule="exact"/>
        <w:ind w:firstLine="600" w:firstLineChars="200"/>
        <w:rPr>
          <w:rFonts w:ascii="宋体" w:hAnsi="宋体" w:cs="宋体"/>
          <w:sz w:val="30"/>
          <w:szCs w:val="30"/>
        </w:rPr>
      </w:pPr>
    </w:p>
    <w:p w14:paraId="38B6CBDE">
      <w:pPr>
        <w:spacing w:line="48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专业技术能力：</w:t>
      </w:r>
    </w:p>
    <w:p w14:paraId="1934A618">
      <w:pPr>
        <w:spacing w:line="48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1.（证明材料附后）</w:t>
      </w:r>
    </w:p>
    <w:p w14:paraId="40BBF2DB">
      <w:pPr>
        <w:spacing w:line="48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2.（证明材料附后）</w:t>
      </w:r>
    </w:p>
    <w:p w14:paraId="2EA9F5D7">
      <w:pPr>
        <w:spacing w:line="48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3.（证明材料附后）</w:t>
      </w:r>
    </w:p>
    <w:p w14:paraId="72A20F20">
      <w:pPr>
        <w:spacing w:line="48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p w14:paraId="753CBA8A">
      <w:pPr>
        <w:spacing w:line="48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特此声明。</w:t>
      </w:r>
    </w:p>
    <w:p w14:paraId="6E0704B8">
      <w:pPr>
        <w:spacing w:line="48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投标人对上述声明的真实性负责。如有虚假，将依法承担相应责任。</w:t>
      </w:r>
    </w:p>
    <w:p w14:paraId="405021C6">
      <w:pPr>
        <w:spacing w:line="480" w:lineRule="exact"/>
        <w:ind w:firstLine="480" w:firstLineChars="200"/>
        <w:rPr>
          <w:rFonts w:asciiTheme="minorEastAsia" w:hAnsiTheme="minorEastAsia" w:eastAsiaTheme="minorEastAsia" w:cstheme="minorEastAsia"/>
          <w:sz w:val="24"/>
        </w:rPr>
      </w:pPr>
    </w:p>
    <w:p w14:paraId="751F156E">
      <w:pPr>
        <w:spacing w:line="480" w:lineRule="exact"/>
        <w:ind w:firstLine="480" w:firstLineChars="200"/>
        <w:jc w:val="righ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供应商：（电子签章）</w:t>
      </w:r>
    </w:p>
    <w:p w14:paraId="2CF20BE5">
      <w:pPr>
        <w:spacing w:line="480" w:lineRule="exact"/>
        <w:ind w:firstLine="480" w:firstLineChars="200"/>
        <w:jc w:val="right"/>
        <w:rPr>
          <w:rFonts w:asciiTheme="minorEastAsia" w:hAnsiTheme="minorEastAsia" w:eastAsiaTheme="minorEastAsia" w:cstheme="minorEastAsia"/>
          <w:sz w:val="24"/>
        </w:rPr>
      </w:pPr>
    </w:p>
    <w:p w14:paraId="09C55362">
      <w:pPr>
        <w:pStyle w:val="14"/>
        <w:ind w:firstLine="6960" w:firstLineChars="29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年  月  日</w:t>
      </w:r>
    </w:p>
    <w:p w14:paraId="0AEB6985">
      <w:pPr>
        <w:pStyle w:val="14"/>
        <w:ind w:firstLine="6960" w:firstLineChars="2900"/>
        <w:rPr>
          <w:rFonts w:asciiTheme="minorEastAsia" w:hAnsiTheme="minorEastAsia" w:eastAsiaTheme="minorEastAsia" w:cstheme="minorEastAsia"/>
          <w:sz w:val="24"/>
          <w:szCs w:val="24"/>
        </w:rPr>
      </w:pPr>
    </w:p>
    <w:p w14:paraId="1B67EDE8">
      <w:pPr>
        <w:pStyle w:val="14"/>
        <w:ind w:firstLine="6960" w:firstLineChars="2900"/>
        <w:rPr>
          <w:rFonts w:asciiTheme="minorEastAsia" w:hAnsiTheme="minorEastAsia" w:eastAsiaTheme="minorEastAsia" w:cstheme="minorEastAsia"/>
          <w:sz w:val="24"/>
          <w:szCs w:val="24"/>
        </w:rPr>
      </w:pPr>
    </w:p>
    <w:p w14:paraId="2528917E">
      <w:pPr>
        <w:pStyle w:val="14"/>
        <w:ind w:firstLine="6960" w:firstLineChars="2900"/>
        <w:rPr>
          <w:rFonts w:asciiTheme="minorEastAsia" w:hAnsiTheme="minorEastAsia" w:eastAsiaTheme="minorEastAsia" w:cstheme="minorEastAsia"/>
          <w:sz w:val="24"/>
          <w:szCs w:val="24"/>
        </w:rPr>
      </w:pPr>
    </w:p>
    <w:p w14:paraId="0F9303E9">
      <w:pPr>
        <w:pStyle w:val="14"/>
        <w:ind w:firstLine="6960" w:firstLineChars="2900"/>
        <w:rPr>
          <w:rFonts w:asciiTheme="minorEastAsia" w:hAnsiTheme="minorEastAsia" w:eastAsiaTheme="minorEastAsia" w:cstheme="minorEastAsia"/>
          <w:sz w:val="24"/>
          <w:szCs w:val="24"/>
        </w:rPr>
      </w:pPr>
    </w:p>
    <w:p w14:paraId="4D0E6FB6">
      <w:pPr>
        <w:pStyle w:val="14"/>
        <w:ind w:firstLine="6960" w:firstLineChars="2900"/>
        <w:rPr>
          <w:rFonts w:asciiTheme="minorEastAsia" w:hAnsiTheme="minorEastAsia" w:eastAsiaTheme="minorEastAsia" w:cstheme="minorEastAsia"/>
          <w:sz w:val="24"/>
          <w:szCs w:val="24"/>
        </w:rPr>
      </w:pPr>
    </w:p>
    <w:p w14:paraId="775AD5F5">
      <w:pPr>
        <w:pStyle w:val="14"/>
        <w:ind w:firstLine="210"/>
      </w:pPr>
    </w:p>
    <w:p w14:paraId="56F6C7E9">
      <w:pPr>
        <w:widowControl/>
        <w:jc w:val="left"/>
        <w:rPr>
          <w:sz w:val="32"/>
          <w:szCs w:val="32"/>
        </w:rPr>
      </w:pPr>
      <w:r>
        <w:rPr>
          <w:rFonts w:hint="eastAsia"/>
          <w:sz w:val="32"/>
          <w:szCs w:val="32"/>
        </w:rPr>
        <w:t>评分索引表：</w:t>
      </w:r>
    </w:p>
    <w:p w14:paraId="0CA3509E">
      <w:pPr>
        <w:pStyle w:val="43"/>
      </w:pPr>
    </w:p>
    <w:tbl>
      <w:tblPr>
        <w:tblStyle w:val="15"/>
        <w:tblW w:w="932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47"/>
        <w:gridCol w:w="1276"/>
        <w:gridCol w:w="5670"/>
        <w:gridCol w:w="959"/>
        <w:gridCol w:w="673"/>
      </w:tblGrid>
      <w:tr w14:paraId="18EAE4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98" w:hRule="atLeast"/>
          <w:jc w:val="center"/>
        </w:trPr>
        <w:tc>
          <w:tcPr>
            <w:tcW w:w="74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852D861">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b/>
                <w:bCs/>
                <w:kern w:val="0"/>
                <w:sz w:val="24"/>
              </w:rPr>
              <w:t>序号</w:t>
            </w:r>
          </w:p>
        </w:tc>
        <w:tc>
          <w:tcPr>
            <w:tcW w:w="1276"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14:paraId="5BA2077C">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b/>
                <w:bCs/>
                <w:kern w:val="0"/>
                <w:sz w:val="24"/>
              </w:rPr>
              <w:t>评审项目</w:t>
            </w:r>
          </w:p>
        </w:tc>
        <w:tc>
          <w:tcPr>
            <w:tcW w:w="5670"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14:paraId="59333910">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b/>
                <w:bCs/>
                <w:kern w:val="0"/>
                <w:sz w:val="24"/>
              </w:rPr>
              <w:t>评审细则</w:t>
            </w:r>
          </w:p>
        </w:tc>
        <w:tc>
          <w:tcPr>
            <w:tcW w:w="959" w:type="dxa"/>
            <w:tcBorders>
              <w:top w:val="single" w:color="000000" w:sz="6" w:space="0"/>
              <w:left w:val="nil"/>
              <w:bottom w:val="single" w:color="auto" w:sz="4" w:space="0"/>
              <w:right w:val="single" w:color="000000" w:sz="6" w:space="0"/>
            </w:tcBorders>
            <w:vAlign w:val="center"/>
          </w:tcPr>
          <w:p w14:paraId="6A657A9E">
            <w:pPr>
              <w:widowControl/>
              <w:spacing w:before="100" w:beforeAutospacing="1" w:after="100" w:afterAutospacing="1"/>
              <w:rPr>
                <w:rFonts w:cs="宋体" w:asciiTheme="minorEastAsia" w:hAnsiTheme="minorEastAsia" w:eastAsiaTheme="minorEastAsia"/>
                <w:kern w:val="0"/>
                <w:sz w:val="24"/>
              </w:rPr>
            </w:pPr>
            <w:r>
              <w:rPr>
                <w:rFonts w:hint="eastAsia" w:cs="宋体" w:asciiTheme="minorEastAsia" w:hAnsiTheme="minorEastAsia" w:eastAsiaTheme="minorEastAsia"/>
                <w:b/>
                <w:bCs/>
                <w:kern w:val="0"/>
                <w:sz w:val="24"/>
              </w:rPr>
              <w:t>分值</w:t>
            </w:r>
          </w:p>
        </w:tc>
        <w:tc>
          <w:tcPr>
            <w:tcW w:w="673" w:type="dxa"/>
            <w:tcBorders>
              <w:top w:val="single" w:color="000000" w:sz="6" w:space="0"/>
              <w:left w:val="nil"/>
              <w:bottom w:val="single" w:color="auto" w:sz="4" w:space="0"/>
              <w:right w:val="single" w:color="000000" w:sz="6" w:space="0"/>
            </w:tcBorders>
            <w:vAlign w:val="center"/>
          </w:tcPr>
          <w:p w14:paraId="2B89252C">
            <w:pPr>
              <w:widowControl/>
              <w:spacing w:before="100" w:beforeAutospacing="1" w:after="100" w:afterAutospacing="1"/>
              <w:jc w:val="center"/>
              <w:rPr>
                <w:rFonts w:cs="宋体" w:asciiTheme="minorEastAsia" w:hAnsiTheme="minorEastAsia" w:eastAsiaTheme="minorEastAsia"/>
                <w:b/>
                <w:kern w:val="0"/>
                <w:sz w:val="24"/>
              </w:rPr>
            </w:pPr>
            <w:r>
              <w:rPr>
                <w:rFonts w:cs="宋体" w:asciiTheme="minorEastAsia" w:hAnsiTheme="minorEastAsia" w:eastAsiaTheme="minorEastAsia"/>
                <w:b/>
                <w:kern w:val="0"/>
                <w:sz w:val="24"/>
              </w:rPr>
              <w:t>对应页码</w:t>
            </w:r>
          </w:p>
        </w:tc>
      </w:tr>
      <w:tr w14:paraId="61FE97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74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604CC36">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1276" w:type="dxa"/>
            <w:tcBorders>
              <w:top w:val="nil"/>
              <w:left w:val="nil"/>
              <w:bottom w:val="single" w:color="000000" w:sz="6" w:space="0"/>
              <w:right w:val="single" w:color="000000" w:sz="6" w:space="0"/>
            </w:tcBorders>
            <w:tcMar>
              <w:top w:w="0" w:type="dxa"/>
              <w:left w:w="105" w:type="dxa"/>
              <w:bottom w:w="0" w:type="dxa"/>
              <w:right w:w="105" w:type="dxa"/>
            </w:tcMar>
            <w:vAlign w:val="center"/>
          </w:tcPr>
          <w:p w14:paraId="67DEB5D6">
            <w:pPr>
              <w:widowControl/>
              <w:jc w:val="center"/>
              <w:rPr>
                <w:rFonts w:asciiTheme="minorEastAsia" w:hAnsiTheme="minorEastAsia" w:eastAsiaTheme="minorEastAsia"/>
                <w:sz w:val="24"/>
              </w:rPr>
            </w:pPr>
            <w:r>
              <w:rPr>
                <w:rFonts w:hint="eastAsia" w:ascii="宋体" w:hAnsi="宋体" w:cs="楷体"/>
                <w:kern w:val="0"/>
                <w:sz w:val="24"/>
              </w:rPr>
              <w:t>报价  （30分）</w:t>
            </w:r>
          </w:p>
        </w:tc>
        <w:tc>
          <w:tcPr>
            <w:tcW w:w="5670" w:type="dxa"/>
            <w:tcBorders>
              <w:top w:val="nil"/>
              <w:left w:val="nil"/>
              <w:bottom w:val="single" w:color="auto" w:sz="4" w:space="0"/>
              <w:right w:val="single" w:color="auto" w:sz="4" w:space="0"/>
            </w:tcBorders>
            <w:tcMar>
              <w:top w:w="0" w:type="dxa"/>
              <w:left w:w="105" w:type="dxa"/>
              <w:bottom w:w="0" w:type="dxa"/>
              <w:right w:w="105" w:type="dxa"/>
            </w:tcMar>
            <w:vAlign w:val="center"/>
          </w:tcPr>
          <w:p w14:paraId="5B06F174">
            <w:pPr>
              <w:widowControl/>
              <w:jc w:val="left"/>
              <w:rPr>
                <w:rFonts w:cs="宋体" w:asciiTheme="minorEastAsia" w:hAnsiTheme="minorEastAsia" w:eastAsiaTheme="minorEastAsia"/>
                <w:kern w:val="0"/>
                <w:sz w:val="24"/>
              </w:rPr>
            </w:pPr>
            <w:r>
              <w:rPr>
                <w:rFonts w:hint="eastAsia" w:ascii="宋体" w:hAnsi="宋体" w:cs="宋体"/>
                <w:kern w:val="0"/>
                <w:sz w:val="24"/>
              </w:rPr>
              <w:t>满足采购文件要求且投标价格最低的投标报价为评标基准价，其价格分为满分。其他投标人的价格分统一按照下列公式计算：投标报价得分=(评标基准价／投标报价)×30</w:t>
            </w:r>
          </w:p>
        </w:tc>
        <w:tc>
          <w:tcPr>
            <w:tcW w:w="959" w:type="dxa"/>
            <w:tcBorders>
              <w:top w:val="single" w:color="auto" w:sz="4" w:space="0"/>
              <w:left w:val="single" w:color="auto" w:sz="4" w:space="0"/>
              <w:bottom w:val="single" w:color="auto" w:sz="4" w:space="0"/>
              <w:right w:val="single" w:color="auto" w:sz="4" w:space="0"/>
            </w:tcBorders>
            <w:vAlign w:val="center"/>
          </w:tcPr>
          <w:p w14:paraId="40D1B284">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30</w:t>
            </w:r>
          </w:p>
        </w:tc>
        <w:tc>
          <w:tcPr>
            <w:tcW w:w="673" w:type="dxa"/>
            <w:tcBorders>
              <w:top w:val="single" w:color="auto" w:sz="4" w:space="0"/>
              <w:left w:val="single" w:color="auto" w:sz="4" w:space="0"/>
              <w:bottom w:val="single" w:color="auto" w:sz="4" w:space="0"/>
              <w:right w:val="single" w:color="auto" w:sz="4" w:space="0"/>
            </w:tcBorders>
            <w:vAlign w:val="center"/>
          </w:tcPr>
          <w:p w14:paraId="4D36A6A5">
            <w:pPr>
              <w:widowControl/>
              <w:spacing w:before="100" w:beforeAutospacing="1" w:after="100" w:afterAutospacing="1"/>
              <w:jc w:val="center"/>
              <w:rPr>
                <w:rFonts w:cs="宋体" w:asciiTheme="minorEastAsia" w:hAnsiTheme="minorEastAsia" w:eastAsiaTheme="minorEastAsia"/>
                <w:kern w:val="0"/>
                <w:sz w:val="24"/>
              </w:rPr>
            </w:pPr>
          </w:p>
        </w:tc>
      </w:tr>
      <w:tr w14:paraId="1E4B54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90" w:hRule="atLeast"/>
          <w:jc w:val="center"/>
        </w:trPr>
        <w:tc>
          <w:tcPr>
            <w:tcW w:w="747" w:type="dxa"/>
            <w:vMerge w:val="restart"/>
            <w:tcBorders>
              <w:top w:val="single" w:color="000000" w:sz="6" w:space="0"/>
              <w:left w:val="single" w:color="000000" w:sz="6" w:space="0"/>
              <w:bottom w:val="nil"/>
              <w:right w:val="single" w:color="000000" w:sz="6" w:space="0"/>
            </w:tcBorders>
            <w:tcMar>
              <w:top w:w="0" w:type="dxa"/>
              <w:left w:w="105" w:type="dxa"/>
              <w:bottom w:w="0" w:type="dxa"/>
              <w:right w:w="105" w:type="dxa"/>
            </w:tcMar>
            <w:vAlign w:val="center"/>
          </w:tcPr>
          <w:p w14:paraId="1B2CEBE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1276" w:type="dxa"/>
            <w:tcBorders>
              <w:top w:val="nil"/>
              <w:left w:val="nil"/>
              <w:bottom w:val="single" w:color="000000" w:sz="6" w:space="0"/>
              <w:right w:val="single" w:color="000000" w:sz="6" w:space="0"/>
            </w:tcBorders>
            <w:tcMar>
              <w:top w:w="0" w:type="dxa"/>
              <w:left w:w="105" w:type="dxa"/>
              <w:bottom w:w="0" w:type="dxa"/>
              <w:right w:w="105" w:type="dxa"/>
            </w:tcMar>
            <w:vAlign w:val="center"/>
          </w:tcPr>
          <w:p w14:paraId="46AD81A4">
            <w:pPr>
              <w:widowControl/>
              <w:jc w:val="center"/>
              <w:rPr>
                <w:rFonts w:cs="宋体" w:asciiTheme="minorEastAsia" w:hAnsiTheme="minorEastAsia" w:eastAsiaTheme="minorEastAsia"/>
                <w:kern w:val="0"/>
                <w:sz w:val="24"/>
              </w:rPr>
            </w:pPr>
            <w:r>
              <w:rPr>
                <w:rFonts w:hint="eastAsia" w:ascii="宋体" w:hAnsi="宋体" w:cs="宋体"/>
                <w:color w:val="000000"/>
                <w:sz w:val="24"/>
              </w:rPr>
              <w:t>技术参数及功能响应（30分）</w:t>
            </w:r>
          </w:p>
        </w:tc>
        <w:tc>
          <w:tcPr>
            <w:tcW w:w="5670" w:type="dxa"/>
            <w:tcBorders>
              <w:top w:val="nil"/>
              <w:left w:val="nil"/>
              <w:bottom w:val="single" w:color="auto" w:sz="4" w:space="0"/>
              <w:right w:val="single" w:color="auto" w:sz="4" w:space="0"/>
            </w:tcBorders>
            <w:tcMar>
              <w:top w:w="0" w:type="dxa"/>
              <w:left w:w="105" w:type="dxa"/>
              <w:bottom w:w="0" w:type="dxa"/>
              <w:right w:w="105" w:type="dxa"/>
            </w:tcMar>
            <w:vAlign w:val="center"/>
          </w:tcPr>
          <w:p w14:paraId="5284CD52">
            <w:pPr>
              <w:widowControl/>
              <w:jc w:val="left"/>
              <w:rPr>
                <w:rFonts w:cs="宋体" w:asciiTheme="minorEastAsia" w:hAnsiTheme="minorEastAsia" w:eastAsiaTheme="minorEastAsia"/>
                <w:kern w:val="0"/>
                <w:sz w:val="24"/>
              </w:rPr>
            </w:pPr>
            <w:r>
              <w:rPr>
                <w:rFonts w:hint="eastAsia" w:ascii="宋体" w:hAnsi="宋体" w:cs="楷体"/>
                <w:color w:val="000000"/>
                <w:sz w:val="24"/>
              </w:rPr>
              <w:t>投标产品技术参数全部符合磋商文件技术要求的得26分。每负偏离一项扣2分，其中带“</w:t>
            </w:r>
            <w:r>
              <w:rPr>
                <w:rFonts w:hint="eastAsia" w:ascii="宋体" w:hAnsi="宋体"/>
                <w:sz w:val="24"/>
              </w:rPr>
              <w:t>▲</w:t>
            </w:r>
            <w:r>
              <w:rPr>
                <w:rFonts w:hint="eastAsia" w:ascii="宋体" w:hAnsi="宋体" w:cs="楷体"/>
                <w:color w:val="000000"/>
                <w:sz w:val="24"/>
              </w:rPr>
              <w:t>”的项为重要指标，有一项负偏离扣4分，扣完为止；</w:t>
            </w:r>
            <w:r>
              <w:rPr>
                <w:rFonts w:hint="eastAsia" w:ascii="宋体" w:hAnsi="宋体" w:cs="楷体"/>
                <w:b/>
                <w:color w:val="000000"/>
                <w:sz w:val="24"/>
              </w:rPr>
              <w:t>带“★”的项为实质性响应指标，不能满足参数要求的将视为无效投标。</w:t>
            </w:r>
            <w:r>
              <w:rPr>
                <w:rFonts w:hint="eastAsia" w:ascii="宋体" w:hAnsi="宋体" w:cs="楷体"/>
                <w:color w:val="000000"/>
                <w:sz w:val="24"/>
              </w:rPr>
              <w:t>有一项评标小组认可的正偏离加1分。本项最高得30分。</w:t>
            </w:r>
          </w:p>
        </w:tc>
        <w:tc>
          <w:tcPr>
            <w:tcW w:w="959" w:type="dxa"/>
            <w:tcBorders>
              <w:top w:val="single" w:color="auto" w:sz="4" w:space="0"/>
              <w:left w:val="single" w:color="auto" w:sz="4" w:space="0"/>
              <w:bottom w:val="single" w:color="auto" w:sz="4" w:space="0"/>
              <w:right w:val="single" w:color="auto" w:sz="4" w:space="0"/>
            </w:tcBorders>
            <w:vAlign w:val="center"/>
          </w:tcPr>
          <w:p w14:paraId="5347322E">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30</w:t>
            </w:r>
          </w:p>
        </w:tc>
        <w:tc>
          <w:tcPr>
            <w:tcW w:w="673" w:type="dxa"/>
            <w:tcBorders>
              <w:top w:val="single" w:color="auto" w:sz="4" w:space="0"/>
              <w:left w:val="single" w:color="auto" w:sz="4" w:space="0"/>
              <w:bottom w:val="single" w:color="auto" w:sz="4" w:space="0"/>
              <w:right w:val="single" w:color="auto" w:sz="4" w:space="0"/>
            </w:tcBorders>
            <w:vAlign w:val="center"/>
          </w:tcPr>
          <w:p w14:paraId="680B13EF">
            <w:pPr>
              <w:widowControl/>
              <w:spacing w:before="100" w:beforeAutospacing="1" w:after="100" w:afterAutospacing="1"/>
              <w:jc w:val="center"/>
              <w:rPr>
                <w:rFonts w:cs="宋体" w:asciiTheme="minorEastAsia" w:hAnsiTheme="minorEastAsia" w:eastAsiaTheme="minorEastAsia"/>
                <w:kern w:val="0"/>
                <w:sz w:val="24"/>
              </w:rPr>
            </w:pPr>
          </w:p>
        </w:tc>
      </w:tr>
      <w:tr w14:paraId="65D953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747"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14:paraId="71F1B36E">
            <w:pPr>
              <w:widowControl/>
              <w:jc w:val="center"/>
              <w:rPr>
                <w:rFonts w:cs="宋体" w:asciiTheme="minorEastAsia" w:hAnsiTheme="minorEastAsia" w:eastAsiaTheme="minorEastAsia"/>
                <w:kern w:val="0"/>
                <w:sz w:val="24"/>
              </w:rPr>
            </w:pPr>
          </w:p>
        </w:tc>
        <w:tc>
          <w:tcPr>
            <w:tcW w:w="1276" w:type="dxa"/>
            <w:tcBorders>
              <w:top w:val="nil"/>
              <w:left w:val="nil"/>
              <w:bottom w:val="single" w:color="000000" w:sz="6" w:space="0"/>
              <w:right w:val="single" w:color="000000" w:sz="6" w:space="0"/>
            </w:tcBorders>
            <w:tcMar>
              <w:top w:w="0" w:type="dxa"/>
              <w:left w:w="105" w:type="dxa"/>
              <w:bottom w:w="0" w:type="dxa"/>
              <w:right w:w="105" w:type="dxa"/>
            </w:tcMar>
            <w:vAlign w:val="center"/>
          </w:tcPr>
          <w:p w14:paraId="6A2CCD54">
            <w:pPr>
              <w:widowControl/>
              <w:jc w:val="center"/>
              <w:rPr>
                <w:rFonts w:ascii="宋体" w:hAnsi="宋体" w:cs="宋体"/>
                <w:color w:val="000000"/>
                <w:sz w:val="24"/>
              </w:rPr>
            </w:pPr>
            <w:r>
              <w:rPr>
                <w:rFonts w:hint="eastAsia" w:asciiTheme="minorEastAsia" w:hAnsiTheme="minorEastAsia" w:eastAsiaTheme="minorEastAsia"/>
                <w:sz w:val="24"/>
              </w:rPr>
              <w:t>品牌和选型（20分）</w:t>
            </w:r>
          </w:p>
        </w:tc>
        <w:tc>
          <w:tcPr>
            <w:tcW w:w="5670"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1C1C29F5">
            <w:pPr>
              <w:widowControl/>
              <w:jc w:val="left"/>
              <w:rPr>
                <w:rFonts w:ascii="宋体" w:hAnsi="宋体" w:cs="楷体"/>
                <w:color w:val="000000"/>
                <w:sz w:val="24"/>
              </w:rPr>
            </w:pPr>
            <w:r>
              <w:rPr>
                <w:rFonts w:hint="eastAsia" w:cs="宋体" w:asciiTheme="minorEastAsia" w:hAnsiTheme="minorEastAsia" w:eastAsiaTheme="minorEastAsia"/>
                <w:kern w:val="0"/>
                <w:sz w:val="24"/>
              </w:rPr>
              <w:t>根据投标人所投产品的品牌与选型情况进行综合打分。优等17-20分；良等的13-16分，一般的12分，其他的12分以下。</w:t>
            </w:r>
          </w:p>
        </w:tc>
        <w:tc>
          <w:tcPr>
            <w:tcW w:w="959" w:type="dxa"/>
            <w:tcBorders>
              <w:top w:val="single" w:color="auto" w:sz="4" w:space="0"/>
              <w:left w:val="single" w:color="auto" w:sz="4" w:space="0"/>
              <w:bottom w:val="single" w:color="auto" w:sz="4" w:space="0"/>
              <w:right w:val="single" w:color="auto" w:sz="4" w:space="0"/>
            </w:tcBorders>
            <w:vAlign w:val="center"/>
          </w:tcPr>
          <w:p w14:paraId="36E667EA">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20</w:t>
            </w:r>
          </w:p>
        </w:tc>
        <w:tc>
          <w:tcPr>
            <w:tcW w:w="673" w:type="dxa"/>
            <w:tcBorders>
              <w:top w:val="single" w:color="auto" w:sz="4" w:space="0"/>
              <w:left w:val="single" w:color="auto" w:sz="4" w:space="0"/>
              <w:bottom w:val="single" w:color="auto" w:sz="4" w:space="0"/>
              <w:right w:val="single" w:color="auto" w:sz="4" w:space="0"/>
            </w:tcBorders>
            <w:vAlign w:val="center"/>
          </w:tcPr>
          <w:p w14:paraId="01B7557E">
            <w:pPr>
              <w:widowControl/>
              <w:spacing w:before="100" w:beforeAutospacing="1" w:after="100" w:afterAutospacing="1"/>
              <w:jc w:val="center"/>
              <w:rPr>
                <w:rFonts w:cs="宋体" w:asciiTheme="minorEastAsia" w:hAnsiTheme="minorEastAsia" w:eastAsiaTheme="minorEastAsia"/>
                <w:kern w:val="0"/>
                <w:sz w:val="24"/>
              </w:rPr>
            </w:pPr>
          </w:p>
        </w:tc>
      </w:tr>
      <w:tr w14:paraId="4A5F2E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747" w:type="dxa"/>
            <w:vMerge w:val="restart"/>
            <w:tcBorders>
              <w:top w:val="single" w:color="000000" w:sz="6" w:space="0"/>
              <w:left w:val="single" w:color="auto" w:sz="4" w:space="0"/>
              <w:bottom w:val="single" w:color="auto" w:sz="4" w:space="0"/>
              <w:right w:val="single" w:color="auto" w:sz="4" w:space="0"/>
            </w:tcBorders>
            <w:vAlign w:val="center"/>
          </w:tcPr>
          <w:p w14:paraId="7302ED9E">
            <w:pPr>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p>
        </w:tc>
        <w:tc>
          <w:tcPr>
            <w:tcW w:w="1276" w:type="dxa"/>
            <w:tcBorders>
              <w:top w:val="nil"/>
              <w:left w:val="single" w:color="auto" w:sz="4" w:space="0"/>
              <w:bottom w:val="single" w:color="000000" w:sz="6" w:space="0"/>
              <w:right w:val="single" w:color="auto" w:sz="4" w:space="0"/>
            </w:tcBorders>
            <w:tcMar>
              <w:top w:w="0" w:type="dxa"/>
              <w:left w:w="105" w:type="dxa"/>
              <w:bottom w:w="0" w:type="dxa"/>
              <w:right w:w="105" w:type="dxa"/>
            </w:tcMar>
            <w:vAlign w:val="center"/>
          </w:tcPr>
          <w:p w14:paraId="2F430344">
            <w:pPr>
              <w:widowControl/>
              <w:jc w:val="center"/>
              <w:rPr>
                <w:rFonts w:cs="宋体" w:asciiTheme="minorEastAsia" w:hAnsiTheme="minorEastAsia" w:eastAsiaTheme="minorEastAsia"/>
                <w:kern w:val="0"/>
                <w:sz w:val="24"/>
              </w:rPr>
            </w:pPr>
            <w:r>
              <w:rPr>
                <w:rFonts w:hint="eastAsia" w:ascii="宋体" w:hAnsi="宋体" w:cs="楷体"/>
                <w:kern w:val="0"/>
                <w:sz w:val="24"/>
              </w:rPr>
              <w:t>整体实力  （5分）</w:t>
            </w:r>
          </w:p>
        </w:tc>
        <w:tc>
          <w:tcPr>
            <w:tcW w:w="567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0446876">
            <w:pPr>
              <w:widowControl/>
              <w:jc w:val="left"/>
              <w:rPr>
                <w:rFonts w:cs="宋体" w:asciiTheme="minorEastAsia" w:hAnsiTheme="minorEastAsia" w:eastAsiaTheme="minorEastAsia"/>
                <w:kern w:val="0"/>
                <w:sz w:val="24"/>
              </w:rPr>
            </w:pPr>
            <w:r>
              <w:rPr>
                <w:rFonts w:hint="eastAsia" w:ascii="宋体" w:hAnsi="宋体" w:cs="楷体"/>
                <w:kern w:val="0"/>
                <w:sz w:val="24"/>
              </w:rPr>
              <w:t>根据投标人生产或经营本项目的能力与资格，即综合考虑其资质、实力、质量控制、管理能力、技术研发能力和水平进行评分：优得5分，良得4分，一般得3分，其他得3分以下。</w:t>
            </w:r>
          </w:p>
        </w:tc>
        <w:tc>
          <w:tcPr>
            <w:tcW w:w="959" w:type="dxa"/>
            <w:tcBorders>
              <w:top w:val="single" w:color="auto" w:sz="4" w:space="0"/>
              <w:left w:val="single" w:color="auto" w:sz="4" w:space="0"/>
              <w:bottom w:val="single" w:color="auto" w:sz="4" w:space="0"/>
              <w:right w:val="single" w:color="auto" w:sz="4" w:space="0"/>
            </w:tcBorders>
            <w:vAlign w:val="center"/>
          </w:tcPr>
          <w:p w14:paraId="47DF1BBB">
            <w:pPr>
              <w:widowControl/>
              <w:spacing w:before="100" w:beforeAutospacing="1" w:after="100" w:afterAutospacing="1"/>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5</w:t>
            </w:r>
          </w:p>
        </w:tc>
        <w:tc>
          <w:tcPr>
            <w:tcW w:w="673" w:type="dxa"/>
            <w:tcBorders>
              <w:top w:val="single" w:color="auto" w:sz="4" w:space="0"/>
              <w:left w:val="single" w:color="auto" w:sz="4" w:space="0"/>
              <w:bottom w:val="single" w:color="auto" w:sz="4" w:space="0"/>
              <w:right w:val="single" w:color="auto" w:sz="4" w:space="0"/>
            </w:tcBorders>
            <w:vAlign w:val="center"/>
          </w:tcPr>
          <w:p w14:paraId="2DCEA542">
            <w:pPr>
              <w:widowControl/>
              <w:spacing w:before="100" w:beforeAutospacing="1" w:after="100" w:afterAutospacing="1"/>
              <w:jc w:val="center"/>
              <w:rPr>
                <w:rFonts w:cs="宋体" w:asciiTheme="minorEastAsia" w:hAnsiTheme="minorEastAsia" w:eastAsiaTheme="minorEastAsia"/>
                <w:kern w:val="0"/>
                <w:sz w:val="24"/>
              </w:rPr>
            </w:pPr>
          </w:p>
        </w:tc>
      </w:tr>
      <w:tr w14:paraId="5722BB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747" w:type="dxa"/>
            <w:vMerge w:val="continue"/>
            <w:tcBorders>
              <w:top w:val="single" w:color="auto" w:sz="4" w:space="0"/>
              <w:left w:val="single" w:color="auto" w:sz="4" w:space="0"/>
              <w:bottom w:val="single" w:color="auto" w:sz="4" w:space="0"/>
              <w:right w:val="single" w:color="auto" w:sz="4" w:space="0"/>
            </w:tcBorders>
            <w:vAlign w:val="center"/>
          </w:tcPr>
          <w:p w14:paraId="5AE0FD02">
            <w:pPr>
              <w:jc w:val="center"/>
              <w:rPr>
                <w:rFonts w:cs="宋体" w:asciiTheme="minorEastAsia" w:hAnsiTheme="minorEastAsia" w:eastAsiaTheme="minorEastAsia"/>
                <w:kern w:val="0"/>
                <w:sz w:val="24"/>
              </w:rPr>
            </w:pPr>
          </w:p>
        </w:tc>
        <w:tc>
          <w:tcPr>
            <w:tcW w:w="1276" w:type="dxa"/>
            <w:tcBorders>
              <w:top w:val="nil"/>
              <w:left w:val="single" w:color="auto" w:sz="4" w:space="0"/>
              <w:bottom w:val="single" w:color="000000" w:sz="6" w:space="0"/>
              <w:right w:val="single" w:color="auto" w:sz="4" w:space="0"/>
            </w:tcBorders>
            <w:tcMar>
              <w:top w:w="0" w:type="dxa"/>
              <w:left w:w="105" w:type="dxa"/>
              <w:bottom w:w="0" w:type="dxa"/>
              <w:right w:w="105" w:type="dxa"/>
            </w:tcMar>
            <w:vAlign w:val="center"/>
          </w:tcPr>
          <w:p w14:paraId="69D0A3DC">
            <w:pPr>
              <w:widowControl/>
              <w:jc w:val="center"/>
              <w:rPr>
                <w:rFonts w:ascii="宋体" w:hAnsi="宋体" w:cs="楷体"/>
                <w:kern w:val="0"/>
                <w:sz w:val="24"/>
              </w:rPr>
            </w:pPr>
            <w:r>
              <w:rPr>
                <w:rFonts w:hint="eastAsia" w:ascii="宋体" w:hAnsi="宋体" w:cs="楷体"/>
                <w:kern w:val="0"/>
                <w:sz w:val="24"/>
              </w:rPr>
              <w:t>业绩及信誉 （5分）</w:t>
            </w:r>
          </w:p>
        </w:tc>
        <w:tc>
          <w:tcPr>
            <w:tcW w:w="567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560ADA6">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投标文件中提供投标人自2021年10月1日以来类似项目业绩，有一份得1分，最高得5分。（</w:t>
            </w:r>
            <w:r>
              <w:rPr>
                <w:rFonts w:hint="eastAsia" w:cs="宋体" w:asciiTheme="minorEastAsia" w:hAnsiTheme="minorEastAsia" w:eastAsiaTheme="minorEastAsia"/>
                <w:b/>
                <w:kern w:val="0"/>
                <w:sz w:val="24"/>
              </w:rPr>
              <w:t>合同原件备查，无合同原件不得分。</w:t>
            </w:r>
            <w:r>
              <w:rPr>
                <w:rFonts w:hint="eastAsia" w:cs="宋体" w:asciiTheme="minorEastAsia" w:hAnsiTheme="minorEastAsia" w:eastAsiaTheme="minorEastAsia"/>
                <w:kern w:val="0"/>
                <w:sz w:val="24"/>
              </w:rPr>
              <w:t>）</w:t>
            </w:r>
          </w:p>
        </w:tc>
        <w:tc>
          <w:tcPr>
            <w:tcW w:w="959" w:type="dxa"/>
            <w:tcBorders>
              <w:top w:val="single" w:color="auto" w:sz="4" w:space="0"/>
              <w:left w:val="single" w:color="auto" w:sz="4" w:space="0"/>
              <w:bottom w:val="single" w:color="auto" w:sz="4" w:space="0"/>
              <w:right w:val="single" w:color="auto" w:sz="4" w:space="0"/>
            </w:tcBorders>
            <w:vAlign w:val="center"/>
          </w:tcPr>
          <w:p w14:paraId="2EE0BCA1">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c>
          <w:tcPr>
            <w:tcW w:w="673" w:type="dxa"/>
            <w:tcBorders>
              <w:top w:val="single" w:color="auto" w:sz="4" w:space="0"/>
              <w:left w:val="single" w:color="auto" w:sz="4" w:space="0"/>
              <w:bottom w:val="single" w:color="auto" w:sz="4" w:space="0"/>
              <w:right w:val="single" w:color="auto" w:sz="4" w:space="0"/>
            </w:tcBorders>
            <w:vAlign w:val="center"/>
          </w:tcPr>
          <w:p w14:paraId="60CCC11F">
            <w:pPr>
              <w:widowControl/>
              <w:spacing w:before="100" w:beforeAutospacing="1" w:after="100" w:afterAutospacing="1"/>
              <w:jc w:val="center"/>
              <w:rPr>
                <w:rFonts w:cs="宋体" w:asciiTheme="minorEastAsia" w:hAnsiTheme="minorEastAsia" w:eastAsiaTheme="minorEastAsia"/>
                <w:kern w:val="0"/>
                <w:sz w:val="24"/>
              </w:rPr>
            </w:pPr>
          </w:p>
        </w:tc>
      </w:tr>
      <w:tr w14:paraId="3DF5B1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50" w:hRule="atLeast"/>
          <w:jc w:val="center"/>
        </w:trPr>
        <w:tc>
          <w:tcPr>
            <w:tcW w:w="747" w:type="dxa"/>
            <w:vMerge w:val="continue"/>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00FFD6F">
            <w:pPr>
              <w:widowControl/>
              <w:jc w:val="center"/>
              <w:rPr>
                <w:rFonts w:cs="宋体" w:asciiTheme="minorEastAsia" w:hAnsiTheme="minorEastAsia" w:eastAsiaTheme="minorEastAsia"/>
                <w:kern w:val="0"/>
                <w:sz w:val="24"/>
              </w:rPr>
            </w:pPr>
          </w:p>
        </w:tc>
        <w:tc>
          <w:tcPr>
            <w:tcW w:w="1276" w:type="dxa"/>
            <w:tcBorders>
              <w:top w:val="nil"/>
              <w:left w:val="single" w:color="auto" w:sz="4" w:space="0"/>
              <w:bottom w:val="single" w:color="000000" w:sz="6" w:space="0"/>
              <w:right w:val="single" w:color="000000" w:sz="6" w:space="0"/>
            </w:tcBorders>
            <w:tcMar>
              <w:top w:w="0" w:type="dxa"/>
              <w:left w:w="105" w:type="dxa"/>
              <w:bottom w:w="0" w:type="dxa"/>
              <w:right w:w="105" w:type="dxa"/>
            </w:tcMar>
            <w:vAlign w:val="center"/>
          </w:tcPr>
          <w:p w14:paraId="356856E1">
            <w:pPr>
              <w:widowControl/>
              <w:jc w:val="center"/>
              <w:rPr>
                <w:rFonts w:asciiTheme="minorEastAsia" w:hAnsiTheme="minorEastAsia" w:eastAsiaTheme="minorEastAsia"/>
                <w:sz w:val="24"/>
              </w:rPr>
            </w:pPr>
            <w:r>
              <w:rPr>
                <w:rFonts w:hint="eastAsia" w:ascii="宋体" w:hAnsi="宋体" w:cs="楷体"/>
                <w:kern w:val="0"/>
                <w:sz w:val="24"/>
              </w:rPr>
              <w:t>质保   （</w:t>
            </w:r>
            <w:r>
              <w:rPr>
                <w:rFonts w:ascii="宋体" w:hAnsi="宋体" w:cs="楷体"/>
                <w:kern w:val="0"/>
                <w:sz w:val="24"/>
              </w:rPr>
              <w:t>5</w:t>
            </w:r>
            <w:r>
              <w:rPr>
                <w:rFonts w:hint="eastAsia" w:ascii="宋体" w:hAnsi="宋体" w:cs="楷体"/>
                <w:kern w:val="0"/>
                <w:sz w:val="24"/>
              </w:rPr>
              <w:t>分）</w:t>
            </w:r>
          </w:p>
        </w:tc>
        <w:tc>
          <w:tcPr>
            <w:tcW w:w="5670" w:type="dxa"/>
            <w:tcBorders>
              <w:top w:val="single" w:color="auto" w:sz="4" w:space="0"/>
              <w:left w:val="nil"/>
              <w:bottom w:val="single" w:color="000000" w:sz="6" w:space="0"/>
              <w:right w:val="single" w:color="000000" w:sz="6" w:space="0"/>
            </w:tcBorders>
            <w:tcMar>
              <w:top w:w="0" w:type="dxa"/>
              <w:left w:w="105" w:type="dxa"/>
              <w:bottom w:w="0" w:type="dxa"/>
              <w:right w:w="105" w:type="dxa"/>
            </w:tcMar>
            <w:vAlign w:val="center"/>
          </w:tcPr>
          <w:p w14:paraId="40D9E88C">
            <w:pPr>
              <w:widowControl/>
              <w:jc w:val="left"/>
              <w:rPr>
                <w:rFonts w:cs="宋体" w:asciiTheme="minorEastAsia" w:hAnsiTheme="minorEastAsia" w:eastAsiaTheme="minorEastAsia"/>
                <w:kern w:val="0"/>
                <w:sz w:val="24"/>
              </w:rPr>
            </w:pPr>
            <w:r>
              <w:rPr>
                <w:rFonts w:hint="eastAsia" w:ascii="宋体" w:hAnsi="宋体" w:cs="楷体"/>
                <w:kern w:val="0"/>
                <w:sz w:val="24"/>
              </w:rPr>
              <w:t>免费质保期满足磋商文件最低要求得</w:t>
            </w:r>
            <w:r>
              <w:rPr>
                <w:rFonts w:ascii="宋体" w:hAnsi="宋体" w:cs="楷体"/>
                <w:kern w:val="0"/>
                <w:sz w:val="24"/>
              </w:rPr>
              <w:t>1</w:t>
            </w:r>
            <w:r>
              <w:rPr>
                <w:rFonts w:hint="eastAsia" w:ascii="宋体" w:hAnsi="宋体" w:cs="楷体"/>
                <w:kern w:val="0"/>
                <w:sz w:val="24"/>
              </w:rPr>
              <w:t>分，每增加1年免费质保加1分（不足1年不加分），本项最高得5分。</w:t>
            </w:r>
          </w:p>
        </w:tc>
        <w:tc>
          <w:tcPr>
            <w:tcW w:w="959" w:type="dxa"/>
            <w:tcBorders>
              <w:top w:val="single" w:color="auto" w:sz="4" w:space="0"/>
              <w:left w:val="nil"/>
              <w:bottom w:val="single" w:color="auto" w:sz="4" w:space="0"/>
              <w:right w:val="single" w:color="000000" w:sz="6" w:space="0"/>
            </w:tcBorders>
            <w:vAlign w:val="center"/>
          </w:tcPr>
          <w:p w14:paraId="4519ACE7">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c>
          <w:tcPr>
            <w:tcW w:w="673" w:type="dxa"/>
            <w:tcBorders>
              <w:top w:val="single" w:color="auto" w:sz="4" w:space="0"/>
              <w:left w:val="nil"/>
              <w:bottom w:val="single" w:color="auto" w:sz="4" w:space="0"/>
              <w:right w:val="single" w:color="000000" w:sz="6" w:space="0"/>
            </w:tcBorders>
            <w:vAlign w:val="center"/>
          </w:tcPr>
          <w:p w14:paraId="379B34EF">
            <w:pPr>
              <w:widowControl/>
              <w:spacing w:before="100" w:beforeAutospacing="1" w:after="100" w:afterAutospacing="1"/>
              <w:jc w:val="center"/>
              <w:rPr>
                <w:rFonts w:cs="宋体" w:asciiTheme="minorEastAsia" w:hAnsiTheme="minorEastAsia" w:eastAsiaTheme="minorEastAsia"/>
                <w:kern w:val="0"/>
                <w:sz w:val="24"/>
              </w:rPr>
            </w:pPr>
          </w:p>
        </w:tc>
      </w:tr>
      <w:tr w14:paraId="3495DF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77" w:hRule="atLeast"/>
          <w:jc w:val="center"/>
        </w:trPr>
        <w:tc>
          <w:tcPr>
            <w:tcW w:w="747" w:type="dxa"/>
            <w:vMerge w:val="continue"/>
            <w:tcBorders>
              <w:top w:val="single" w:color="auto" w:sz="4" w:space="0"/>
              <w:left w:val="single" w:color="auto" w:sz="4" w:space="0"/>
              <w:bottom w:val="single" w:color="auto" w:sz="4" w:space="0"/>
              <w:right w:val="single" w:color="auto" w:sz="4" w:space="0"/>
            </w:tcBorders>
            <w:vAlign w:val="center"/>
          </w:tcPr>
          <w:p w14:paraId="6A9E04A0">
            <w:pPr>
              <w:widowControl/>
              <w:jc w:val="left"/>
              <w:rPr>
                <w:rFonts w:cs="宋体" w:asciiTheme="minorEastAsia" w:hAnsiTheme="minorEastAsia" w:eastAsiaTheme="minorEastAsia"/>
                <w:kern w:val="0"/>
                <w:sz w:val="24"/>
              </w:rPr>
            </w:pPr>
          </w:p>
        </w:tc>
        <w:tc>
          <w:tcPr>
            <w:tcW w:w="1276" w:type="dxa"/>
            <w:tcBorders>
              <w:top w:val="single" w:color="000000" w:sz="6" w:space="0"/>
              <w:left w:val="single" w:color="auto" w:sz="4" w:space="0"/>
              <w:bottom w:val="single" w:color="auto" w:sz="4" w:space="0"/>
              <w:right w:val="single" w:color="000000" w:sz="6" w:space="0"/>
            </w:tcBorders>
            <w:tcMar>
              <w:top w:w="0" w:type="dxa"/>
              <w:left w:w="105" w:type="dxa"/>
              <w:bottom w:w="0" w:type="dxa"/>
              <w:right w:w="105" w:type="dxa"/>
            </w:tcMar>
            <w:vAlign w:val="center"/>
          </w:tcPr>
          <w:p w14:paraId="3E6D39D0">
            <w:pPr>
              <w:widowControl/>
              <w:jc w:val="center"/>
              <w:rPr>
                <w:rFonts w:asciiTheme="minorEastAsia" w:hAnsiTheme="minorEastAsia" w:eastAsiaTheme="minorEastAsia"/>
                <w:sz w:val="24"/>
              </w:rPr>
            </w:pPr>
            <w:r>
              <w:rPr>
                <w:rFonts w:hint="eastAsia" w:ascii="宋体" w:hAnsi="宋体" w:cs="楷体"/>
                <w:kern w:val="0"/>
                <w:sz w:val="24"/>
              </w:rPr>
              <w:t>服务方案（5分）</w:t>
            </w:r>
          </w:p>
        </w:tc>
        <w:tc>
          <w:tcPr>
            <w:tcW w:w="5670" w:type="dxa"/>
            <w:tcBorders>
              <w:top w:val="single" w:color="000000" w:sz="6" w:space="0"/>
              <w:left w:val="nil"/>
              <w:bottom w:val="single" w:color="auto" w:sz="4" w:space="0"/>
              <w:right w:val="single" w:color="auto" w:sz="4" w:space="0"/>
            </w:tcBorders>
            <w:tcMar>
              <w:top w:w="0" w:type="dxa"/>
              <w:left w:w="105" w:type="dxa"/>
              <w:bottom w:w="0" w:type="dxa"/>
              <w:right w:w="105" w:type="dxa"/>
            </w:tcMar>
          </w:tcPr>
          <w:p w14:paraId="516411A6">
            <w:pPr>
              <w:widowControl/>
              <w:jc w:val="left"/>
              <w:rPr>
                <w:rFonts w:ascii="宋体" w:hAnsi="宋体" w:cs="宋体"/>
                <w:sz w:val="24"/>
              </w:rPr>
            </w:pPr>
            <w:r>
              <w:rPr>
                <w:rFonts w:hint="eastAsia" w:ascii="宋体" w:hAnsi="宋体" w:cs="宋体"/>
                <w:sz w:val="24"/>
              </w:rPr>
              <w:t>依据售后服务方案，从方案的完整性、可操作性、合理性综合比较评价。</w:t>
            </w:r>
          </w:p>
          <w:p w14:paraId="3995C852">
            <w:pPr>
              <w:widowControl/>
              <w:jc w:val="left"/>
              <w:rPr>
                <w:rFonts w:cs="宋体" w:asciiTheme="minorEastAsia" w:hAnsiTheme="minorEastAsia" w:eastAsiaTheme="minorEastAsia"/>
                <w:kern w:val="0"/>
                <w:sz w:val="24"/>
              </w:rPr>
            </w:pPr>
            <w:r>
              <w:rPr>
                <w:rFonts w:hint="eastAsia" w:ascii="宋体" w:hAnsi="宋体" w:cs="宋体"/>
                <w:kern w:val="0"/>
                <w:sz w:val="24"/>
              </w:rPr>
              <w:t>方案完整细致、操作性强、合理切实可行得5-4分；内容较完整、操作性较完整、较合理切实可行得3-2分；内容不完整、操作性不强、不合理得1-0分。</w:t>
            </w:r>
          </w:p>
        </w:tc>
        <w:tc>
          <w:tcPr>
            <w:tcW w:w="959" w:type="dxa"/>
            <w:tcBorders>
              <w:top w:val="single" w:color="auto" w:sz="4" w:space="0"/>
              <w:left w:val="single" w:color="auto" w:sz="4" w:space="0"/>
              <w:right w:val="single" w:color="auto" w:sz="4" w:space="0"/>
            </w:tcBorders>
            <w:vAlign w:val="center"/>
          </w:tcPr>
          <w:p w14:paraId="552A92BF">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c>
          <w:tcPr>
            <w:tcW w:w="673" w:type="dxa"/>
            <w:tcBorders>
              <w:top w:val="single" w:color="auto" w:sz="4" w:space="0"/>
              <w:left w:val="single" w:color="auto" w:sz="4" w:space="0"/>
              <w:right w:val="single" w:color="auto" w:sz="4" w:space="0"/>
            </w:tcBorders>
            <w:vAlign w:val="center"/>
          </w:tcPr>
          <w:p w14:paraId="4429270B">
            <w:pPr>
              <w:widowControl/>
              <w:spacing w:before="100" w:beforeAutospacing="1" w:after="100" w:afterAutospacing="1"/>
              <w:jc w:val="center"/>
              <w:rPr>
                <w:rFonts w:cs="宋体" w:asciiTheme="minorEastAsia" w:hAnsiTheme="minorEastAsia" w:eastAsiaTheme="minorEastAsia"/>
                <w:kern w:val="0"/>
                <w:sz w:val="24"/>
              </w:rPr>
            </w:pPr>
          </w:p>
        </w:tc>
      </w:tr>
    </w:tbl>
    <w:p w14:paraId="432E466C">
      <w:pPr>
        <w:rPr>
          <w:rFonts w:ascii="宋体" w:hAnsi="宋体"/>
          <w:b/>
          <w:sz w:val="32"/>
          <w:szCs w:val="32"/>
        </w:rPr>
      </w:pPr>
      <w:r>
        <w:rPr>
          <w:rFonts w:hint="eastAsia" w:ascii="宋体" w:hAnsi="宋体"/>
          <w:b/>
          <w:sz w:val="32"/>
          <w:szCs w:val="32"/>
        </w:rPr>
        <w:t>注：投标人需标明相关材料在投标文件中的对应页码。</w:t>
      </w:r>
    </w:p>
    <w:p w14:paraId="2B3F5AD8">
      <w:pPr>
        <w:widowControl/>
        <w:jc w:val="left"/>
        <w:rPr>
          <w:rFonts w:cs="华文楷体" w:asciiTheme="minorEastAsia" w:hAnsiTheme="minorEastAsia" w:eastAsiaTheme="minorEastAsia"/>
          <w:b/>
          <w:color w:val="000000" w:themeColor="text1"/>
          <w:sz w:val="24"/>
        </w:rPr>
      </w:pPr>
      <w:r>
        <w:rPr>
          <w:rFonts w:cs="华文楷体" w:asciiTheme="minorEastAsia" w:hAnsiTheme="minorEastAsia" w:eastAsiaTheme="minorEastAsia"/>
          <w:b/>
          <w:color w:val="000000" w:themeColor="text1"/>
          <w:sz w:val="24"/>
        </w:rPr>
        <w:br w:type="page"/>
      </w:r>
    </w:p>
    <w:p w14:paraId="20C2A8E5">
      <w:pPr>
        <w:bidi w:val="0"/>
        <w:jc w:val="left"/>
        <w:rPr>
          <w:rFonts w:ascii="Times New Roman" w:hAnsi="Times New Roman" w:eastAsia="宋体" w:cs="Times New Roman"/>
          <w:kern w:val="2"/>
          <w:sz w:val="21"/>
          <w:szCs w:val="24"/>
          <w:lang w:val="en-US" w:eastAsia="zh-CN" w:bidi="ar-SA"/>
        </w:rPr>
      </w:pPr>
    </w:p>
    <w:p w14:paraId="055DC3FF">
      <w:pPr>
        <w:pStyle w:val="43"/>
        <w:rPr>
          <w:b/>
          <w:sz w:val="32"/>
          <w:szCs w:val="32"/>
        </w:rPr>
      </w:pPr>
      <w:r>
        <w:rPr>
          <w:rFonts w:hint="eastAsia"/>
          <w:b/>
          <w:sz w:val="32"/>
          <w:szCs w:val="32"/>
        </w:rPr>
        <w:t>本项目评分细则：</w:t>
      </w:r>
    </w:p>
    <w:tbl>
      <w:tblPr>
        <w:tblStyle w:val="15"/>
        <w:tblW w:w="910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41"/>
        <w:gridCol w:w="1276"/>
        <w:gridCol w:w="5896"/>
        <w:gridCol w:w="1187"/>
      </w:tblGrid>
      <w:tr w14:paraId="7ECDDB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98" w:hRule="atLeast"/>
          <w:jc w:val="center"/>
        </w:trPr>
        <w:tc>
          <w:tcPr>
            <w:tcW w:w="741"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BEBBE71">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b/>
                <w:bCs/>
                <w:kern w:val="0"/>
                <w:sz w:val="24"/>
              </w:rPr>
              <w:t>序号</w:t>
            </w:r>
          </w:p>
        </w:tc>
        <w:tc>
          <w:tcPr>
            <w:tcW w:w="1276"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14:paraId="3CCA8362">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b/>
                <w:bCs/>
                <w:kern w:val="0"/>
                <w:sz w:val="24"/>
              </w:rPr>
              <w:t>评审项目</w:t>
            </w:r>
          </w:p>
        </w:tc>
        <w:tc>
          <w:tcPr>
            <w:tcW w:w="5896"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14:paraId="76805D1E">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b/>
                <w:bCs/>
                <w:kern w:val="0"/>
                <w:sz w:val="24"/>
              </w:rPr>
              <w:t>评审细则</w:t>
            </w:r>
          </w:p>
        </w:tc>
        <w:tc>
          <w:tcPr>
            <w:tcW w:w="1187" w:type="dxa"/>
            <w:tcBorders>
              <w:top w:val="single" w:color="000000" w:sz="6" w:space="0"/>
              <w:left w:val="nil"/>
              <w:bottom w:val="single" w:color="auto" w:sz="4" w:space="0"/>
              <w:right w:val="single" w:color="000000" w:sz="6" w:space="0"/>
            </w:tcBorders>
            <w:vAlign w:val="center"/>
          </w:tcPr>
          <w:p w14:paraId="17D7A975">
            <w:pPr>
              <w:widowControl/>
              <w:spacing w:before="100" w:beforeAutospacing="1" w:after="100" w:afterAutospacing="1"/>
              <w:ind w:firstLine="354" w:firstLineChars="147"/>
              <w:rPr>
                <w:rFonts w:cs="宋体" w:asciiTheme="minorEastAsia" w:hAnsiTheme="minorEastAsia" w:eastAsiaTheme="minorEastAsia"/>
                <w:kern w:val="0"/>
                <w:sz w:val="24"/>
              </w:rPr>
            </w:pPr>
            <w:r>
              <w:rPr>
                <w:rFonts w:hint="eastAsia" w:cs="宋体" w:asciiTheme="minorEastAsia" w:hAnsiTheme="minorEastAsia" w:eastAsiaTheme="minorEastAsia"/>
                <w:b/>
                <w:bCs/>
                <w:kern w:val="0"/>
                <w:sz w:val="24"/>
              </w:rPr>
              <w:t>分值</w:t>
            </w:r>
          </w:p>
        </w:tc>
      </w:tr>
      <w:tr w14:paraId="4B0449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741"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0BCD383">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1276" w:type="dxa"/>
            <w:tcBorders>
              <w:top w:val="nil"/>
              <w:left w:val="nil"/>
              <w:bottom w:val="single" w:color="000000" w:sz="6" w:space="0"/>
              <w:right w:val="single" w:color="000000" w:sz="6" w:space="0"/>
            </w:tcBorders>
            <w:tcMar>
              <w:top w:w="0" w:type="dxa"/>
              <w:left w:w="105" w:type="dxa"/>
              <w:bottom w:w="0" w:type="dxa"/>
              <w:right w:w="105" w:type="dxa"/>
            </w:tcMar>
            <w:vAlign w:val="center"/>
          </w:tcPr>
          <w:p w14:paraId="370606B5">
            <w:pPr>
              <w:widowControl/>
              <w:jc w:val="center"/>
              <w:rPr>
                <w:rFonts w:asciiTheme="minorEastAsia" w:hAnsiTheme="minorEastAsia" w:eastAsiaTheme="minorEastAsia"/>
                <w:sz w:val="24"/>
              </w:rPr>
            </w:pPr>
            <w:r>
              <w:rPr>
                <w:rFonts w:hint="eastAsia" w:ascii="宋体" w:hAnsi="宋体" w:cs="楷体"/>
                <w:kern w:val="0"/>
                <w:sz w:val="24"/>
              </w:rPr>
              <w:t>报价  （30分）</w:t>
            </w:r>
          </w:p>
        </w:tc>
        <w:tc>
          <w:tcPr>
            <w:tcW w:w="5896" w:type="dxa"/>
            <w:tcBorders>
              <w:top w:val="nil"/>
              <w:left w:val="nil"/>
              <w:bottom w:val="single" w:color="auto" w:sz="4" w:space="0"/>
              <w:right w:val="single" w:color="auto" w:sz="4" w:space="0"/>
            </w:tcBorders>
            <w:tcMar>
              <w:top w:w="0" w:type="dxa"/>
              <w:left w:w="105" w:type="dxa"/>
              <w:bottom w:w="0" w:type="dxa"/>
              <w:right w:w="105" w:type="dxa"/>
            </w:tcMar>
            <w:vAlign w:val="center"/>
          </w:tcPr>
          <w:p w14:paraId="47AD6037">
            <w:pPr>
              <w:widowControl/>
              <w:jc w:val="left"/>
              <w:rPr>
                <w:rFonts w:cs="宋体" w:asciiTheme="minorEastAsia" w:hAnsiTheme="minorEastAsia" w:eastAsiaTheme="minorEastAsia"/>
                <w:kern w:val="0"/>
                <w:sz w:val="24"/>
              </w:rPr>
            </w:pPr>
            <w:r>
              <w:rPr>
                <w:rFonts w:hint="eastAsia" w:ascii="宋体" w:hAnsi="宋体" w:cs="宋体"/>
                <w:kern w:val="0"/>
                <w:sz w:val="24"/>
              </w:rPr>
              <w:t>满足采购文件要求且投标价格最低的投标报价为评标基准价，其价格分为满分。其他投标人的价格分统一按照下列公式计算：投标报价得分=(评标基准价／投标报价)×30</w:t>
            </w:r>
          </w:p>
        </w:tc>
        <w:tc>
          <w:tcPr>
            <w:tcW w:w="1187" w:type="dxa"/>
            <w:tcBorders>
              <w:top w:val="single" w:color="auto" w:sz="4" w:space="0"/>
              <w:left w:val="single" w:color="auto" w:sz="4" w:space="0"/>
              <w:bottom w:val="single" w:color="auto" w:sz="4" w:space="0"/>
              <w:right w:val="single" w:color="auto" w:sz="4" w:space="0"/>
            </w:tcBorders>
            <w:vAlign w:val="center"/>
          </w:tcPr>
          <w:p w14:paraId="34B16A49">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30</w:t>
            </w:r>
          </w:p>
        </w:tc>
      </w:tr>
      <w:tr w14:paraId="52E4B4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90" w:hRule="atLeast"/>
          <w:jc w:val="center"/>
        </w:trPr>
        <w:tc>
          <w:tcPr>
            <w:tcW w:w="741" w:type="dxa"/>
            <w:vMerge w:val="restart"/>
            <w:tcBorders>
              <w:top w:val="single" w:color="000000" w:sz="6" w:space="0"/>
              <w:left w:val="single" w:color="000000" w:sz="6" w:space="0"/>
              <w:bottom w:val="nil"/>
              <w:right w:val="single" w:color="000000" w:sz="6" w:space="0"/>
            </w:tcBorders>
            <w:tcMar>
              <w:top w:w="0" w:type="dxa"/>
              <w:left w:w="105" w:type="dxa"/>
              <w:bottom w:w="0" w:type="dxa"/>
              <w:right w:w="105" w:type="dxa"/>
            </w:tcMar>
            <w:vAlign w:val="center"/>
          </w:tcPr>
          <w:p w14:paraId="3303A708">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1276" w:type="dxa"/>
            <w:tcBorders>
              <w:top w:val="nil"/>
              <w:left w:val="nil"/>
              <w:bottom w:val="single" w:color="000000" w:sz="6" w:space="0"/>
              <w:right w:val="single" w:color="000000" w:sz="6" w:space="0"/>
            </w:tcBorders>
            <w:tcMar>
              <w:top w:w="0" w:type="dxa"/>
              <w:left w:w="105" w:type="dxa"/>
              <w:bottom w:w="0" w:type="dxa"/>
              <w:right w:w="105" w:type="dxa"/>
            </w:tcMar>
            <w:vAlign w:val="center"/>
          </w:tcPr>
          <w:p w14:paraId="7CFDE792">
            <w:pPr>
              <w:widowControl/>
              <w:jc w:val="center"/>
              <w:rPr>
                <w:rFonts w:cs="宋体" w:asciiTheme="minorEastAsia" w:hAnsiTheme="minorEastAsia" w:eastAsiaTheme="minorEastAsia"/>
                <w:kern w:val="0"/>
                <w:sz w:val="24"/>
              </w:rPr>
            </w:pPr>
            <w:r>
              <w:rPr>
                <w:rFonts w:hint="eastAsia" w:ascii="宋体" w:hAnsi="宋体" w:cs="宋体"/>
                <w:color w:val="000000"/>
                <w:sz w:val="24"/>
              </w:rPr>
              <w:t>技术参数及功能响应（30分）</w:t>
            </w:r>
          </w:p>
        </w:tc>
        <w:tc>
          <w:tcPr>
            <w:tcW w:w="5896" w:type="dxa"/>
            <w:tcBorders>
              <w:top w:val="nil"/>
              <w:left w:val="nil"/>
              <w:bottom w:val="single" w:color="auto" w:sz="4" w:space="0"/>
              <w:right w:val="single" w:color="auto" w:sz="4" w:space="0"/>
            </w:tcBorders>
            <w:tcMar>
              <w:top w:w="0" w:type="dxa"/>
              <w:left w:w="105" w:type="dxa"/>
              <w:bottom w:w="0" w:type="dxa"/>
              <w:right w:w="105" w:type="dxa"/>
            </w:tcMar>
            <w:vAlign w:val="center"/>
          </w:tcPr>
          <w:p w14:paraId="6724E873">
            <w:pPr>
              <w:widowControl/>
              <w:jc w:val="left"/>
              <w:rPr>
                <w:rFonts w:cs="宋体" w:asciiTheme="minorEastAsia" w:hAnsiTheme="minorEastAsia" w:eastAsiaTheme="minorEastAsia"/>
                <w:kern w:val="0"/>
                <w:sz w:val="24"/>
              </w:rPr>
            </w:pPr>
            <w:r>
              <w:rPr>
                <w:rFonts w:hint="eastAsia" w:ascii="宋体" w:hAnsi="宋体" w:cs="楷体"/>
                <w:color w:val="000000"/>
                <w:sz w:val="24"/>
              </w:rPr>
              <w:t>投标产品技术参数全部符合磋商文件技术要求的得26分。每负偏离一项扣2分，其中带“</w:t>
            </w:r>
            <w:r>
              <w:rPr>
                <w:rFonts w:hint="eastAsia" w:ascii="宋体" w:hAnsi="宋体"/>
                <w:sz w:val="24"/>
              </w:rPr>
              <w:t>▲</w:t>
            </w:r>
            <w:r>
              <w:rPr>
                <w:rFonts w:hint="eastAsia" w:ascii="宋体" w:hAnsi="宋体" w:cs="楷体"/>
                <w:color w:val="000000"/>
                <w:sz w:val="24"/>
              </w:rPr>
              <w:t>”的项为重要指标，有一项负偏离扣4分，扣完为止；</w:t>
            </w:r>
            <w:r>
              <w:rPr>
                <w:rFonts w:hint="eastAsia" w:ascii="宋体" w:hAnsi="宋体" w:cs="楷体"/>
                <w:b/>
                <w:color w:val="000000"/>
                <w:sz w:val="24"/>
              </w:rPr>
              <w:t>带“★”的项为实质性响应指标，不能满足参数要求的将视为无效投标。</w:t>
            </w:r>
            <w:r>
              <w:rPr>
                <w:rFonts w:hint="eastAsia" w:ascii="宋体" w:hAnsi="宋体" w:cs="楷体"/>
                <w:color w:val="000000"/>
                <w:sz w:val="24"/>
              </w:rPr>
              <w:t>有一项评标小组认可的正偏离加1分。本项最高得30分。</w:t>
            </w:r>
          </w:p>
        </w:tc>
        <w:tc>
          <w:tcPr>
            <w:tcW w:w="1187" w:type="dxa"/>
            <w:tcBorders>
              <w:top w:val="single" w:color="auto" w:sz="4" w:space="0"/>
              <w:left w:val="single" w:color="auto" w:sz="4" w:space="0"/>
              <w:bottom w:val="single" w:color="auto" w:sz="4" w:space="0"/>
              <w:right w:val="single" w:color="auto" w:sz="4" w:space="0"/>
            </w:tcBorders>
            <w:vAlign w:val="center"/>
          </w:tcPr>
          <w:p w14:paraId="39FAEDD0">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30</w:t>
            </w:r>
          </w:p>
        </w:tc>
      </w:tr>
      <w:tr w14:paraId="543148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741"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14:paraId="57D496BB">
            <w:pPr>
              <w:widowControl/>
              <w:jc w:val="center"/>
              <w:rPr>
                <w:rFonts w:cs="宋体" w:asciiTheme="minorEastAsia" w:hAnsiTheme="minorEastAsia" w:eastAsiaTheme="minorEastAsia"/>
                <w:kern w:val="0"/>
                <w:sz w:val="24"/>
              </w:rPr>
            </w:pPr>
          </w:p>
        </w:tc>
        <w:tc>
          <w:tcPr>
            <w:tcW w:w="1276" w:type="dxa"/>
            <w:tcBorders>
              <w:top w:val="nil"/>
              <w:left w:val="nil"/>
              <w:bottom w:val="single" w:color="000000" w:sz="6" w:space="0"/>
              <w:right w:val="single" w:color="000000" w:sz="6" w:space="0"/>
            </w:tcBorders>
            <w:tcMar>
              <w:top w:w="0" w:type="dxa"/>
              <w:left w:w="105" w:type="dxa"/>
              <w:bottom w:w="0" w:type="dxa"/>
              <w:right w:w="105" w:type="dxa"/>
            </w:tcMar>
            <w:vAlign w:val="center"/>
          </w:tcPr>
          <w:p w14:paraId="2A992E9F">
            <w:pPr>
              <w:widowControl/>
              <w:jc w:val="center"/>
              <w:rPr>
                <w:rFonts w:ascii="宋体" w:hAnsi="宋体" w:cs="宋体"/>
                <w:color w:val="000000"/>
                <w:sz w:val="24"/>
              </w:rPr>
            </w:pPr>
            <w:r>
              <w:rPr>
                <w:rFonts w:hint="eastAsia" w:asciiTheme="minorEastAsia" w:hAnsiTheme="minorEastAsia" w:eastAsiaTheme="minorEastAsia"/>
                <w:sz w:val="24"/>
              </w:rPr>
              <w:t>品牌和选型（20分）</w:t>
            </w:r>
          </w:p>
        </w:tc>
        <w:tc>
          <w:tcPr>
            <w:tcW w:w="5896"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0A3BA541">
            <w:pPr>
              <w:widowControl/>
              <w:jc w:val="left"/>
              <w:rPr>
                <w:rFonts w:ascii="宋体" w:hAnsi="宋体" w:cs="楷体"/>
                <w:color w:val="000000"/>
                <w:sz w:val="24"/>
              </w:rPr>
            </w:pPr>
            <w:r>
              <w:rPr>
                <w:rFonts w:hint="eastAsia" w:cs="宋体" w:asciiTheme="minorEastAsia" w:hAnsiTheme="minorEastAsia" w:eastAsiaTheme="minorEastAsia"/>
                <w:kern w:val="0"/>
                <w:sz w:val="24"/>
              </w:rPr>
              <w:t>根据投标人所投产品的品牌与选型情况进行综合打分。优等17-20分；良等的13-16分，一般的12分，其他的12分以下。</w:t>
            </w:r>
          </w:p>
        </w:tc>
        <w:tc>
          <w:tcPr>
            <w:tcW w:w="1187" w:type="dxa"/>
            <w:tcBorders>
              <w:top w:val="single" w:color="auto" w:sz="4" w:space="0"/>
              <w:left w:val="single" w:color="auto" w:sz="4" w:space="0"/>
              <w:bottom w:val="single" w:color="auto" w:sz="4" w:space="0"/>
              <w:right w:val="single" w:color="auto" w:sz="4" w:space="0"/>
            </w:tcBorders>
            <w:vAlign w:val="center"/>
          </w:tcPr>
          <w:p w14:paraId="41A8F659">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20</w:t>
            </w:r>
          </w:p>
        </w:tc>
      </w:tr>
      <w:tr w14:paraId="7682D7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741" w:type="dxa"/>
            <w:vMerge w:val="restart"/>
            <w:tcBorders>
              <w:top w:val="single" w:color="000000" w:sz="6" w:space="0"/>
              <w:left w:val="single" w:color="auto" w:sz="4" w:space="0"/>
              <w:bottom w:val="single" w:color="auto" w:sz="4" w:space="0"/>
              <w:right w:val="single" w:color="auto" w:sz="4" w:space="0"/>
            </w:tcBorders>
            <w:vAlign w:val="center"/>
          </w:tcPr>
          <w:p w14:paraId="45FCCCC7">
            <w:pPr>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p>
        </w:tc>
        <w:tc>
          <w:tcPr>
            <w:tcW w:w="1276" w:type="dxa"/>
            <w:tcBorders>
              <w:top w:val="nil"/>
              <w:left w:val="single" w:color="auto" w:sz="4" w:space="0"/>
              <w:bottom w:val="single" w:color="000000" w:sz="6" w:space="0"/>
              <w:right w:val="single" w:color="auto" w:sz="4" w:space="0"/>
            </w:tcBorders>
            <w:tcMar>
              <w:top w:w="0" w:type="dxa"/>
              <w:left w:w="105" w:type="dxa"/>
              <w:bottom w:w="0" w:type="dxa"/>
              <w:right w:w="105" w:type="dxa"/>
            </w:tcMar>
            <w:vAlign w:val="center"/>
          </w:tcPr>
          <w:p w14:paraId="5AC14F1E">
            <w:pPr>
              <w:widowControl/>
              <w:jc w:val="center"/>
              <w:rPr>
                <w:rFonts w:cs="宋体" w:asciiTheme="minorEastAsia" w:hAnsiTheme="minorEastAsia" w:eastAsiaTheme="minorEastAsia"/>
                <w:kern w:val="0"/>
                <w:sz w:val="24"/>
              </w:rPr>
            </w:pPr>
            <w:r>
              <w:rPr>
                <w:rFonts w:hint="eastAsia" w:ascii="宋体" w:hAnsi="宋体" w:cs="楷体"/>
                <w:kern w:val="0"/>
                <w:sz w:val="24"/>
              </w:rPr>
              <w:t>整体实力  （5分）</w:t>
            </w:r>
          </w:p>
        </w:tc>
        <w:tc>
          <w:tcPr>
            <w:tcW w:w="58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652C631">
            <w:pPr>
              <w:widowControl/>
              <w:jc w:val="left"/>
              <w:rPr>
                <w:rFonts w:cs="宋体" w:asciiTheme="minorEastAsia" w:hAnsiTheme="minorEastAsia" w:eastAsiaTheme="minorEastAsia"/>
                <w:kern w:val="0"/>
                <w:sz w:val="24"/>
              </w:rPr>
            </w:pPr>
            <w:r>
              <w:rPr>
                <w:rFonts w:hint="eastAsia" w:ascii="宋体" w:hAnsi="宋体" w:cs="楷体"/>
                <w:kern w:val="0"/>
                <w:sz w:val="24"/>
              </w:rPr>
              <w:t>根据投标人生产或经营本项目的能力与资格，即综合考虑其资质、实力、质量控制、管理能力、技术研发能力和水平进行评分：优得5分，良得4分，一般得3分，其他得3分以下。</w:t>
            </w:r>
          </w:p>
        </w:tc>
        <w:tc>
          <w:tcPr>
            <w:tcW w:w="1187" w:type="dxa"/>
            <w:tcBorders>
              <w:top w:val="single" w:color="auto" w:sz="4" w:space="0"/>
              <w:left w:val="single" w:color="auto" w:sz="4" w:space="0"/>
              <w:bottom w:val="single" w:color="auto" w:sz="4" w:space="0"/>
              <w:right w:val="single" w:color="auto" w:sz="4" w:space="0"/>
            </w:tcBorders>
            <w:vAlign w:val="center"/>
          </w:tcPr>
          <w:p w14:paraId="4562E9F5">
            <w:pPr>
              <w:widowControl/>
              <w:spacing w:before="100" w:beforeAutospacing="1" w:after="100" w:afterAutospacing="1"/>
              <w:jc w:val="center"/>
              <w:rPr>
                <w:rFonts w:cs="宋体" w:asciiTheme="minorEastAsia" w:hAnsiTheme="minorEastAsia" w:eastAsiaTheme="minorEastAsia"/>
                <w:kern w:val="0"/>
                <w:sz w:val="24"/>
              </w:rPr>
            </w:pPr>
            <w:r>
              <w:rPr>
                <w:rFonts w:cs="宋体" w:asciiTheme="minorEastAsia" w:hAnsiTheme="minorEastAsia" w:eastAsiaTheme="minorEastAsia"/>
                <w:kern w:val="0"/>
                <w:sz w:val="24"/>
              </w:rPr>
              <w:t>5</w:t>
            </w:r>
          </w:p>
        </w:tc>
      </w:tr>
      <w:tr w14:paraId="01BD6A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1D9425E8">
            <w:pPr>
              <w:jc w:val="center"/>
              <w:rPr>
                <w:rFonts w:cs="宋体" w:asciiTheme="minorEastAsia" w:hAnsiTheme="minorEastAsia" w:eastAsiaTheme="minorEastAsia"/>
                <w:kern w:val="0"/>
                <w:sz w:val="24"/>
              </w:rPr>
            </w:pPr>
          </w:p>
        </w:tc>
        <w:tc>
          <w:tcPr>
            <w:tcW w:w="1276" w:type="dxa"/>
            <w:tcBorders>
              <w:top w:val="nil"/>
              <w:left w:val="single" w:color="auto" w:sz="4" w:space="0"/>
              <w:bottom w:val="single" w:color="000000" w:sz="6" w:space="0"/>
              <w:right w:val="single" w:color="auto" w:sz="4" w:space="0"/>
            </w:tcBorders>
            <w:tcMar>
              <w:top w:w="0" w:type="dxa"/>
              <w:left w:w="105" w:type="dxa"/>
              <w:bottom w:w="0" w:type="dxa"/>
              <w:right w:w="105" w:type="dxa"/>
            </w:tcMar>
            <w:vAlign w:val="center"/>
          </w:tcPr>
          <w:p w14:paraId="2CC2FAA6">
            <w:pPr>
              <w:widowControl/>
              <w:jc w:val="center"/>
              <w:rPr>
                <w:rFonts w:ascii="宋体" w:hAnsi="宋体" w:cs="楷体"/>
                <w:kern w:val="0"/>
                <w:sz w:val="24"/>
              </w:rPr>
            </w:pPr>
            <w:r>
              <w:rPr>
                <w:rFonts w:hint="eastAsia" w:ascii="宋体" w:hAnsi="宋体" w:cs="楷体"/>
                <w:kern w:val="0"/>
                <w:sz w:val="24"/>
              </w:rPr>
              <w:t>业绩及信誉 （5分）</w:t>
            </w:r>
          </w:p>
        </w:tc>
        <w:tc>
          <w:tcPr>
            <w:tcW w:w="58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30B8C0B">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投标文件中提供投标人自2021年10月1日以来类似项目业绩，有一份得1分，最高得5分。（</w:t>
            </w:r>
            <w:r>
              <w:rPr>
                <w:rFonts w:hint="eastAsia" w:cs="宋体" w:asciiTheme="minorEastAsia" w:hAnsiTheme="minorEastAsia" w:eastAsiaTheme="minorEastAsia"/>
                <w:b/>
                <w:kern w:val="0"/>
                <w:sz w:val="24"/>
              </w:rPr>
              <w:t>合同原件备查，无合同原件不得分。</w:t>
            </w:r>
            <w:r>
              <w:rPr>
                <w:rFonts w:hint="eastAsia" w:cs="宋体" w:asciiTheme="minorEastAsia" w:hAnsiTheme="minorEastAsia" w:eastAsiaTheme="minorEastAsia"/>
                <w:kern w:val="0"/>
                <w:sz w:val="24"/>
              </w:rPr>
              <w:t>）</w:t>
            </w:r>
          </w:p>
        </w:tc>
        <w:tc>
          <w:tcPr>
            <w:tcW w:w="1187" w:type="dxa"/>
            <w:tcBorders>
              <w:top w:val="single" w:color="auto" w:sz="4" w:space="0"/>
              <w:left w:val="single" w:color="auto" w:sz="4" w:space="0"/>
              <w:bottom w:val="single" w:color="auto" w:sz="4" w:space="0"/>
              <w:right w:val="single" w:color="auto" w:sz="4" w:space="0"/>
            </w:tcBorders>
            <w:vAlign w:val="center"/>
          </w:tcPr>
          <w:p w14:paraId="636D1690">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r>
      <w:tr w14:paraId="421553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50" w:hRule="atLeast"/>
          <w:jc w:val="center"/>
        </w:trPr>
        <w:tc>
          <w:tcPr>
            <w:tcW w:w="741" w:type="dxa"/>
            <w:vMerge w:val="continue"/>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9265D0C">
            <w:pPr>
              <w:widowControl/>
              <w:jc w:val="center"/>
              <w:rPr>
                <w:rFonts w:cs="宋体" w:asciiTheme="minorEastAsia" w:hAnsiTheme="minorEastAsia" w:eastAsiaTheme="minorEastAsia"/>
                <w:kern w:val="0"/>
                <w:sz w:val="24"/>
              </w:rPr>
            </w:pPr>
          </w:p>
        </w:tc>
        <w:tc>
          <w:tcPr>
            <w:tcW w:w="1276" w:type="dxa"/>
            <w:tcBorders>
              <w:top w:val="nil"/>
              <w:left w:val="single" w:color="auto" w:sz="4" w:space="0"/>
              <w:bottom w:val="single" w:color="000000" w:sz="6" w:space="0"/>
              <w:right w:val="single" w:color="000000" w:sz="6" w:space="0"/>
            </w:tcBorders>
            <w:tcMar>
              <w:top w:w="0" w:type="dxa"/>
              <w:left w:w="105" w:type="dxa"/>
              <w:bottom w:w="0" w:type="dxa"/>
              <w:right w:w="105" w:type="dxa"/>
            </w:tcMar>
            <w:vAlign w:val="center"/>
          </w:tcPr>
          <w:p w14:paraId="7268CA8D">
            <w:pPr>
              <w:widowControl/>
              <w:jc w:val="center"/>
              <w:rPr>
                <w:rFonts w:asciiTheme="minorEastAsia" w:hAnsiTheme="minorEastAsia" w:eastAsiaTheme="minorEastAsia"/>
                <w:sz w:val="24"/>
              </w:rPr>
            </w:pPr>
            <w:r>
              <w:rPr>
                <w:rFonts w:hint="eastAsia" w:ascii="宋体" w:hAnsi="宋体" w:cs="楷体"/>
                <w:kern w:val="0"/>
                <w:sz w:val="24"/>
              </w:rPr>
              <w:t>质保   （</w:t>
            </w:r>
            <w:r>
              <w:rPr>
                <w:rFonts w:ascii="宋体" w:hAnsi="宋体" w:cs="楷体"/>
                <w:kern w:val="0"/>
                <w:sz w:val="24"/>
              </w:rPr>
              <w:t>5</w:t>
            </w:r>
            <w:r>
              <w:rPr>
                <w:rFonts w:hint="eastAsia" w:ascii="宋体" w:hAnsi="宋体" w:cs="楷体"/>
                <w:kern w:val="0"/>
                <w:sz w:val="24"/>
              </w:rPr>
              <w:t>分）</w:t>
            </w:r>
          </w:p>
        </w:tc>
        <w:tc>
          <w:tcPr>
            <w:tcW w:w="5896" w:type="dxa"/>
            <w:tcBorders>
              <w:top w:val="single" w:color="auto" w:sz="4" w:space="0"/>
              <w:left w:val="nil"/>
              <w:bottom w:val="single" w:color="000000" w:sz="6" w:space="0"/>
              <w:right w:val="single" w:color="000000" w:sz="6" w:space="0"/>
            </w:tcBorders>
            <w:tcMar>
              <w:top w:w="0" w:type="dxa"/>
              <w:left w:w="105" w:type="dxa"/>
              <w:bottom w:w="0" w:type="dxa"/>
              <w:right w:w="105" w:type="dxa"/>
            </w:tcMar>
            <w:vAlign w:val="center"/>
          </w:tcPr>
          <w:p w14:paraId="1CE591F4">
            <w:pPr>
              <w:widowControl/>
              <w:jc w:val="left"/>
              <w:rPr>
                <w:rFonts w:cs="宋体" w:asciiTheme="minorEastAsia" w:hAnsiTheme="minorEastAsia" w:eastAsiaTheme="minorEastAsia"/>
                <w:kern w:val="0"/>
                <w:sz w:val="24"/>
              </w:rPr>
            </w:pPr>
            <w:r>
              <w:rPr>
                <w:rFonts w:hint="eastAsia" w:ascii="宋体" w:hAnsi="宋体" w:cs="楷体"/>
                <w:kern w:val="0"/>
                <w:sz w:val="24"/>
              </w:rPr>
              <w:t>免费质保期满足磋商文件最低要求得</w:t>
            </w:r>
            <w:r>
              <w:rPr>
                <w:rFonts w:ascii="宋体" w:hAnsi="宋体" w:cs="楷体"/>
                <w:kern w:val="0"/>
                <w:sz w:val="24"/>
              </w:rPr>
              <w:t>1</w:t>
            </w:r>
            <w:r>
              <w:rPr>
                <w:rFonts w:hint="eastAsia" w:ascii="宋体" w:hAnsi="宋体" w:cs="楷体"/>
                <w:kern w:val="0"/>
                <w:sz w:val="24"/>
              </w:rPr>
              <w:t>分，每增加1年免费质保加1分（不足1年不加分），本项最高得5分。</w:t>
            </w:r>
          </w:p>
        </w:tc>
        <w:tc>
          <w:tcPr>
            <w:tcW w:w="1187" w:type="dxa"/>
            <w:tcBorders>
              <w:top w:val="single" w:color="auto" w:sz="4" w:space="0"/>
              <w:left w:val="nil"/>
              <w:bottom w:val="single" w:color="auto" w:sz="4" w:space="0"/>
              <w:right w:val="single" w:color="000000" w:sz="6" w:space="0"/>
            </w:tcBorders>
            <w:vAlign w:val="center"/>
          </w:tcPr>
          <w:p w14:paraId="2BE6D8FE">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r>
      <w:tr w14:paraId="34558B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77"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0C6731F0">
            <w:pPr>
              <w:widowControl/>
              <w:jc w:val="left"/>
              <w:rPr>
                <w:rFonts w:cs="宋体" w:asciiTheme="minorEastAsia" w:hAnsiTheme="minorEastAsia" w:eastAsiaTheme="minorEastAsia"/>
                <w:kern w:val="0"/>
                <w:sz w:val="24"/>
              </w:rPr>
            </w:pPr>
          </w:p>
        </w:tc>
        <w:tc>
          <w:tcPr>
            <w:tcW w:w="1276" w:type="dxa"/>
            <w:tcBorders>
              <w:top w:val="single" w:color="000000" w:sz="6" w:space="0"/>
              <w:left w:val="single" w:color="auto" w:sz="4" w:space="0"/>
              <w:bottom w:val="single" w:color="auto" w:sz="4" w:space="0"/>
              <w:right w:val="single" w:color="000000" w:sz="6" w:space="0"/>
            </w:tcBorders>
            <w:tcMar>
              <w:top w:w="0" w:type="dxa"/>
              <w:left w:w="105" w:type="dxa"/>
              <w:bottom w:w="0" w:type="dxa"/>
              <w:right w:w="105" w:type="dxa"/>
            </w:tcMar>
            <w:vAlign w:val="center"/>
          </w:tcPr>
          <w:p w14:paraId="06670B94">
            <w:pPr>
              <w:widowControl/>
              <w:jc w:val="center"/>
              <w:rPr>
                <w:rFonts w:asciiTheme="minorEastAsia" w:hAnsiTheme="minorEastAsia" w:eastAsiaTheme="minorEastAsia"/>
                <w:sz w:val="24"/>
              </w:rPr>
            </w:pPr>
            <w:r>
              <w:rPr>
                <w:rFonts w:hint="eastAsia" w:ascii="宋体" w:hAnsi="宋体" w:cs="楷体"/>
                <w:kern w:val="0"/>
                <w:sz w:val="24"/>
              </w:rPr>
              <w:t>服务方案（5分）</w:t>
            </w:r>
          </w:p>
        </w:tc>
        <w:tc>
          <w:tcPr>
            <w:tcW w:w="5896" w:type="dxa"/>
            <w:tcBorders>
              <w:top w:val="single" w:color="000000" w:sz="6" w:space="0"/>
              <w:left w:val="nil"/>
              <w:bottom w:val="single" w:color="auto" w:sz="4" w:space="0"/>
              <w:right w:val="single" w:color="auto" w:sz="4" w:space="0"/>
            </w:tcBorders>
            <w:tcMar>
              <w:top w:w="0" w:type="dxa"/>
              <w:left w:w="105" w:type="dxa"/>
              <w:bottom w:w="0" w:type="dxa"/>
              <w:right w:w="105" w:type="dxa"/>
            </w:tcMar>
          </w:tcPr>
          <w:p w14:paraId="4ECC5117">
            <w:pPr>
              <w:widowControl/>
              <w:jc w:val="left"/>
              <w:rPr>
                <w:rFonts w:ascii="宋体" w:hAnsi="宋体" w:cs="宋体"/>
                <w:sz w:val="24"/>
              </w:rPr>
            </w:pPr>
            <w:r>
              <w:rPr>
                <w:rFonts w:hint="eastAsia" w:ascii="宋体" w:hAnsi="宋体" w:cs="宋体"/>
                <w:sz w:val="24"/>
              </w:rPr>
              <w:t>依据售后服务方案，从方案的完整性、可操作性、合理性综合比较评价。</w:t>
            </w:r>
          </w:p>
          <w:p w14:paraId="3BD9BBBE">
            <w:pPr>
              <w:widowControl/>
              <w:jc w:val="left"/>
              <w:rPr>
                <w:rFonts w:cs="宋体" w:asciiTheme="minorEastAsia" w:hAnsiTheme="minorEastAsia" w:eastAsiaTheme="minorEastAsia"/>
                <w:kern w:val="0"/>
                <w:sz w:val="24"/>
              </w:rPr>
            </w:pPr>
            <w:r>
              <w:rPr>
                <w:rFonts w:hint="eastAsia" w:ascii="宋体" w:hAnsi="宋体" w:cs="宋体"/>
                <w:kern w:val="0"/>
                <w:sz w:val="24"/>
              </w:rPr>
              <w:t>方案完整细致、操作性强、合理切实可行得5-4分；内容较完整、操作性较完整、较合理切实可行得3-2分；内容不完整、操作性不强、不合理得1-0分。</w:t>
            </w:r>
          </w:p>
        </w:tc>
        <w:tc>
          <w:tcPr>
            <w:tcW w:w="1187" w:type="dxa"/>
            <w:tcBorders>
              <w:top w:val="single" w:color="auto" w:sz="4" w:space="0"/>
              <w:left w:val="single" w:color="auto" w:sz="4" w:space="0"/>
              <w:right w:val="single" w:color="auto" w:sz="4" w:space="0"/>
            </w:tcBorders>
            <w:vAlign w:val="center"/>
          </w:tcPr>
          <w:p w14:paraId="2D72A261">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r>
    </w:tbl>
    <w:p w14:paraId="6DD4EE25">
      <w:pPr>
        <w:ind w:firstLine="480" w:firstLineChars="200"/>
        <w:rPr>
          <w:rFonts w:ascii="宋体" w:hAnsi="宋体"/>
          <w:color w:val="000000"/>
          <w:sz w:val="24"/>
        </w:rPr>
      </w:pPr>
      <w:r>
        <w:rPr>
          <w:rFonts w:hint="eastAsia"/>
          <w:sz w:val="24"/>
        </w:rPr>
        <w:t>说明：本项目采用综合评分法，按照得分最高的原则推荐成交供应商，评审得分相同的，按照最后报价由低到高的顺序推荐。</w:t>
      </w:r>
      <w:r>
        <w:rPr>
          <w:rFonts w:hint="eastAsia" w:ascii="宋体" w:hAnsi="宋体" w:cs="宋体"/>
          <w:sz w:val="24"/>
        </w:rPr>
        <w:t>评审得分且最后报价相同的，按照技术部分（包括技术参数和品牌选型）得分顺序推荐。</w:t>
      </w:r>
    </w:p>
    <w:sectPr>
      <w:footerReference r:id="rId3" w:type="default"/>
      <w:pgSz w:w="11906" w:h="16838"/>
      <w:pgMar w:top="1157" w:right="1293" w:bottom="873"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C48DC">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5</w:t>
    </w:r>
    <w:r>
      <w:fldChar w:fldCharType="end"/>
    </w:r>
  </w:p>
  <w:p w14:paraId="51D2B5F3">
    <w:pPr>
      <w:pStyle w:val="11"/>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A34F7F"/>
    <w:multiLevelType w:val="singleLevel"/>
    <w:tmpl w:val="93A34F7F"/>
    <w:lvl w:ilvl="0" w:tentative="0">
      <w:start w:val="2"/>
      <w:numFmt w:val="chineseCounting"/>
      <w:suff w:val="nothing"/>
      <w:lvlText w:val="（%1）"/>
      <w:lvlJc w:val="left"/>
      <w:rPr>
        <w:rFonts w:hint="eastAsia"/>
      </w:rPr>
    </w:lvl>
  </w:abstractNum>
  <w:abstractNum w:abstractNumId="1">
    <w:nsid w:val="D920726E"/>
    <w:multiLevelType w:val="singleLevel"/>
    <w:tmpl w:val="D920726E"/>
    <w:lvl w:ilvl="0" w:tentative="0">
      <w:start w:val="1"/>
      <w:numFmt w:val="decimal"/>
      <w:suff w:val="nothing"/>
      <w:lvlText w:val="%1）"/>
      <w:lvlJc w:val="left"/>
    </w:lvl>
  </w:abstractNum>
  <w:abstractNum w:abstractNumId="2">
    <w:nsid w:val="F1250E05"/>
    <w:multiLevelType w:val="singleLevel"/>
    <w:tmpl w:val="F1250E05"/>
    <w:lvl w:ilvl="0" w:tentative="0">
      <w:start w:val="1"/>
      <w:numFmt w:val="decimal"/>
      <w:suff w:val="nothing"/>
      <w:lvlText w:val="（%1）"/>
      <w:lvlJc w:val="left"/>
    </w:lvl>
  </w:abstractNum>
  <w:abstractNum w:abstractNumId="3">
    <w:nsid w:val="09DC7194"/>
    <w:multiLevelType w:val="multilevel"/>
    <w:tmpl w:val="09DC7194"/>
    <w:lvl w:ilvl="0" w:tentative="0">
      <w:start w:val="1"/>
      <w:numFmt w:val="decimal"/>
      <w:pStyle w:val="41"/>
      <w:lvlText w:val="%1"/>
      <w:lvlJc w:val="left"/>
      <w:pPr>
        <w:tabs>
          <w:tab w:val="left" w:pos="709"/>
        </w:tabs>
        <w:ind w:left="709" w:hanging="709"/>
      </w:pPr>
    </w:lvl>
    <w:lvl w:ilvl="1" w:tentative="0">
      <w:start w:val="4"/>
      <w:numFmt w:val="decimal"/>
      <w:lvlText w:val="3.%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4">
    <w:nsid w:val="0C530E68"/>
    <w:multiLevelType w:val="multilevel"/>
    <w:tmpl w:val="0C530E6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C2F6FD4"/>
    <w:multiLevelType w:val="multilevel"/>
    <w:tmpl w:val="1C2F6FD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39E38140"/>
    <w:multiLevelType w:val="singleLevel"/>
    <w:tmpl w:val="39E38140"/>
    <w:lvl w:ilvl="0" w:tentative="0">
      <w:start w:val="1"/>
      <w:numFmt w:val="decimal"/>
      <w:suff w:val="nothing"/>
      <w:lvlText w:val="（%1）"/>
      <w:lvlJc w:val="left"/>
    </w:lvl>
  </w:abstractNum>
  <w:abstractNum w:abstractNumId="7">
    <w:nsid w:val="656D6133"/>
    <w:multiLevelType w:val="multilevel"/>
    <w:tmpl w:val="656D6133"/>
    <w:lvl w:ilvl="0" w:tentative="0">
      <w:start w:val="1"/>
      <w:numFmt w:val="chineseCountingThousand"/>
      <w:pStyle w:val="47"/>
      <w:suff w:val="nothing"/>
      <w:lvlText w:val="第%1部分"/>
      <w:lvlJc w:val="center"/>
      <w:pPr>
        <w:ind w:left="2412" w:firstLine="288"/>
      </w:pPr>
    </w:lvl>
    <w:lvl w:ilvl="1" w:tentative="0">
      <w:start w:val="1"/>
      <w:numFmt w:val="japaneseCounting"/>
      <w:lvlText w:val="第%2章"/>
      <w:lvlJc w:val="left"/>
      <w:pPr>
        <w:tabs>
          <w:tab w:val="left" w:pos="720"/>
        </w:tabs>
        <w:ind w:left="720" w:hanging="720"/>
      </w:pPr>
    </w:lvl>
    <w:lvl w:ilvl="2" w:tentative="0">
      <w:start w:val="1"/>
      <w:numFmt w:val="chineseCountingThousand"/>
      <w:pStyle w:val="39"/>
      <w:suff w:val="nothing"/>
      <w:lvlText w:val="(%3)"/>
      <w:lvlJc w:val="left"/>
      <w:pPr>
        <w:ind w:left="0" w:firstLine="0"/>
      </w:pPr>
    </w:lvl>
    <w:lvl w:ilvl="3" w:tentative="0">
      <w:start w:val="1"/>
      <w:numFmt w:val="decimal"/>
      <w:suff w:val="nothing"/>
      <w:lvlText w:val="%4、"/>
      <w:lvlJc w:val="left"/>
      <w:pPr>
        <w:ind w:left="0" w:firstLine="0"/>
      </w:pPr>
    </w:lvl>
    <w:lvl w:ilvl="4" w:tentative="0">
      <w:start w:val="1"/>
      <w:numFmt w:val="upperLetter"/>
      <w:suff w:val="nothing"/>
      <w:lvlText w:val="%5、"/>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7"/>
  </w:num>
  <w:num w:numId="2">
    <w:abstractNumId w:val="3"/>
  </w:num>
  <w:num w:numId="3">
    <w:abstractNumId w:val="1"/>
  </w:num>
  <w:num w:numId="4">
    <w:abstractNumId w:val="5"/>
  </w:num>
  <w:num w:numId="5">
    <w:abstractNumId w:val="6"/>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__Grammarly_42____i" w:val="H4sIAAAAAAAEAKtWckksSQxILCpxzi/NK1GyMqwFAAEhoTITAAAA"/>
    <w:docVar w:name="__Grammarly_42___1" w:val="H4sIAAAAAAAEAKtWcslP9kxRslIyNDY2MTIwtDAzszQ1s7A0MDRW0lEKTi0uzszPAykwrAUAuYKFNSwAAAA="/>
    <w:docVar w:name="commondata" w:val="eyJoZGlkIjoiYWJmNTAxYTA0NTllZTU0OWY5NWY0MWNlMzBjNGU2OTYifQ=="/>
  </w:docVars>
  <w:rsids>
    <w:rsidRoot w:val="00677253"/>
    <w:rsid w:val="000009C2"/>
    <w:rsid w:val="00001165"/>
    <w:rsid w:val="0000296C"/>
    <w:rsid w:val="00005F56"/>
    <w:rsid w:val="00012671"/>
    <w:rsid w:val="00023C17"/>
    <w:rsid w:val="00026664"/>
    <w:rsid w:val="00030B02"/>
    <w:rsid w:val="00030B89"/>
    <w:rsid w:val="00033FFC"/>
    <w:rsid w:val="0004032E"/>
    <w:rsid w:val="00040922"/>
    <w:rsid w:val="0004216F"/>
    <w:rsid w:val="0004767C"/>
    <w:rsid w:val="00051E51"/>
    <w:rsid w:val="00052E71"/>
    <w:rsid w:val="000532D5"/>
    <w:rsid w:val="000544D9"/>
    <w:rsid w:val="000548B7"/>
    <w:rsid w:val="0005727A"/>
    <w:rsid w:val="00061137"/>
    <w:rsid w:val="00062AA8"/>
    <w:rsid w:val="00067BC1"/>
    <w:rsid w:val="00070A21"/>
    <w:rsid w:val="000714A9"/>
    <w:rsid w:val="00071687"/>
    <w:rsid w:val="00076272"/>
    <w:rsid w:val="0007712F"/>
    <w:rsid w:val="00081035"/>
    <w:rsid w:val="0008103D"/>
    <w:rsid w:val="00081F94"/>
    <w:rsid w:val="00082075"/>
    <w:rsid w:val="00086993"/>
    <w:rsid w:val="00090D16"/>
    <w:rsid w:val="00090FA0"/>
    <w:rsid w:val="00091675"/>
    <w:rsid w:val="00093C69"/>
    <w:rsid w:val="00093E8D"/>
    <w:rsid w:val="00095E35"/>
    <w:rsid w:val="00097714"/>
    <w:rsid w:val="000A237E"/>
    <w:rsid w:val="000B028E"/>
    <w:rsid w:val="000B1915"/>
    <w:rsid w:val="000B2A23"/>
    <w:rsid w:val="000B46B6"/>
    <w:rsid w:val="000B513A"/>
    <w:rsid w:val="000B5627"/>
    <w:rsid w:val="000B612A"/>
    <w:rsid w:val="000C509E"/>
    <w:rsid w:val="000C5C14"/>
    <w:rsid w:val="000C7202"/>
    <w:rsid w:val="000D0F53"/>
    <w:rsid w:val="000D1EE9"/>
    <w:rsid w:val="000E1282"/>
    <w:rsid w:val="000E189D"/>
    <w:rsid w:val="000F42D4"/>
    <w:rsid w:val="000F7B4F"/>
    <w:rsid w:val="001013C7"/>
    <w:rsid w:val="00102AE9"/>
    <w:rsid w:val="00113320"/>
    <w:rsid w:val="00120740"/>
    <w:rsid w:val="001238DC"/>
    <w:rsid w:val="00124D6A"/>
    <w:rsid w:val="00132DF1"/>
    <w:rsid w:val="001339E1"/>
    <w:rsid w:val="00135C66"/>
    <w:rsid w:val="00136ECC"/>
    <w:rsid w:val="00137D7E"/>
    <w:rsid w:val="0014532C"/>
    <w:rsid w:val="00151A11"/>
    <w:rsid w:val="00151FE3"/>
    <w:rsid w:val="001523D1"/>
    <w:rsid w:val="00152AF7"/>
    <w:rsid w:val="001537D0"/>
    <w:rsid w:val="0015538A"/>
    <w:rsid w:val="00157D41"/>
    <w:rsid w:val="00161281"/>
    <w:rsid w:val="00162658"/>
    <w:rsid w:val="0016338D"/>
    <w:rsid w:val="001669DC"/>
    <w:rsid w:val="00166AF4"/>
    <w:rsid w:val="00167689"/>
    <w:rsid w:val="00174E6A"/>
    <w:rsid w:val="001805D4"/>
    <w:rsid w:val="001826CB"/>
    <w:rsid w:val="00183247"/>
    <w:rsid w:val="0018632F"/>
    <w:rsid w:val="001915B6"/>
    <w:rsid w:val="001916F0"/>
    <w:rsid w:val="001945DD"/>
    <w:rsid w:val="001A1588"/>
    <w:rsid w:val="001B4996"/>
    <w:rsid w:val="001B542D"/>
    <w:rsid w:val="001B7CD7"/>
    <w:rsid w:val="001B7DE0"/>
    <w:rsid w:val="001C1238"/>
    <w:rsid w:val="001C2FDD"/>
    <w:rsid w:val="001C3CB8"/>
    <w:rsid w:val="001C7748"/>
    <w:rsid w:val="001C7B5D"/>
    <w:rsid w:val="001D0F8D"/>
    <w:rsid w:val="001D1544"/>
    <w:rsid w:val="001D390A"/>
    <w:rsid w:val="001D74AA"/>
    <w:rsid w:val="001E56B9"/>
    <w:rsid w:val="001E7A5A"/>
    <w:rsid w:val="001E7F01"/>
    <w:rsid w:val="001F482C"/>
    <w:rsid w:val="001F5240"/>
    <w:rsid w:val="002005EF"/>
    <w:rsid w:val="00205CEA"/>
    <w:rsid w:val="00210A91"/>
    <w:rsid w:val="00210D5D"/>
    <w:rsid w:val="00212832"/>
    <w:rsid w:val="00213F1F"/>
    <w:rsid w:val="00215195"/>
    <w:rsid w:val="002155D0"/>
    <w:rsid w:val="00220FE2"/>
    <w:rsid w:val="0022114C"/>
    <w:rsid w:val="00224633"/>
    <w:rsid w:val="00225612"/>
    <w:rsid w:val="00225FFB"/>
    <w:rsid w:val="0023146B"/>
    <w:rsid w:val="002326FF"/>
    <w:rsid w:val="00241F5B"/>
    <w:rsid w:val="0025143B"/>
    <w:rsid w:val="00253DC5"/>
    <w:rsid w:val="00255210"/>
    <w:rsid w:val="00257537"/>
    <w:rsid w:val="00264F2E"/>
    <w:rsid w:val="00267B4C"/>
    <w:rsid w:val="002712BA"/>
    <w:rsid w:val="0027442F"/>
    <w:rsid w:val="00290BA5"/>
    <w:rsid w:val="00294021"/>
    <w:rsid w:val="00297A5E"/>
    <w:rsid w:val="002A22C1"/>
    <w:rsid w:val="002A2CCF"/>
    <w:rsid w:val="002A4850"/>
    <w:rsid w:val="002A4D83"/>
    <w:rsid w:val="002A6042"/>
    <w:rsid w:val="002A6850"/>
    <w:rsid w:val="002A74A8"/>
    <w:rsid w:val="002A7FA0"/>
    <w:rsid w:val="002C4EED"/>
    <w:rsid w:val="002C7D1C"/>
    <w:rsid w:val="002D3D45"/>
    <w:rsid w:val="002D4BDA"/>
    <w:rsid w:val="002D4F55"/>
    <w:rsid w:val="002E0A69"/>
    <w:rsid w:val="002E2E09"/>
    <w:rsid w:val="002E3A23"/>
    <w:rsid w:val="002E4271"/>
    <w:rsid w:val="002E4C38"/>
    <w:rsid w:val="002E5361"/>
    <w:rsid w:val="002F27D3"/>
    <w:rsid w:val="002F45F4"/>
    <w:rsid w:val="002F7B8E"/>
    <w:rsid w:val="003019B2"/>
    <w:rsid w:val="00302E3F"/>
    <w:rsid w:val="0030339A"/>
    <w:rsid w:val="0030541D"/>
    <w:rsid w:val="00310E99"/>
    <w:rsid w:val="003133D5"/>
    <w:rsid w:val="00314EF2"/>
    <w:rsid w:val="00317D46"/>
    <w:rsid w:val="003213B2"/>
    <w:rsid w:val="00322B5A"/>
    <w:rsid w:val="00322BE9"/>
    <w:rsid w:val="00323038"/>
    <w:rsid w:val="00333570"/>
    <w:rsid w:val="00334BA9"/>
    <w:rsid w:val="00336B6F"/>
    <w:rsid w:val="003379C1"/>
    <w:rsid w:val="00340936"/>
    <w:rsid w:val="00342672"/>
    <w:rsid w:val="003442B7"/>
    <w:rsid w:val="0034778F"/>
    <w:rsid w:val="00356653"/>
    <w:rsid w:val="003724E4"/>
    <w:rsid w:val="0037566A"/>
    <w:rsid w:val="00376C6E"/>
    <w:rsid w:val="003868A8"/>
    <w:rsid w:val="00386D7F"/>
    <w:rsid w:val="00390090"/>
    <w:rsid w:val="0039062B"/>
    <w:rsid w:val="00394DB0"/>
    <w:rsid w:val="003A2B81"/>
    <w:rsid w:val="003A7900"/>
    <w:rsid w:val="003B4F5C"/>
    <w:rsid w:val="003B6CF4"/>
    <w:rsid w:val="003C0443"/>
    <w:rsid w:val="003C04DF"/>
    <w:rsid w:val="003C351D"/>
    <w:rsid w:val="003C43A9"/>
    <w:rsid w:val="003C44C6"/>
    <w:rsid w:val="003C5E5C"/>
    <w:rsid w:val="003C7DC7"/>
    <w:rsid w:val="003D160A"/>
    <w:rsid w:val="003D4A0D"/>
    <w:rsid w:val="003D61FA"/>
    <w:rsid w:val="003D7C44"/>
    <w:rsid w:val="003E476A"/>
    <w:rsid w:val="003E4E11"/>
    <w:rsid w:val="003E6540"/>
    <w:rsid w:val="003F21A7"/>
    <w:rsid w:val="003F4D8A"/>
    <w:rsid w:val="004002A7"/>
    <w:rsid w:val="0040195A"/>
    <w:rsid w:val="00402946"/>
    <w:rsid w:val="0040452C"/>
    <w:rsid w:val="004064D4"/>
    <w:rsid w:val="004156E2"/>
    <w:rsid w:val="00416090"/>
    <w:rsid w:val="00416531"/>
    <w:rsid w:val="004168FC"/>
    <w:rsid w:val="0042044F"/>
    <w:rsid w:val="00425EB8"/>
    <w:rsid w:val="00426FCF"/>
    <w:rsid w:val="00427E2E"/>
    <w:rsid w:val="004332DF"/>
    <w:rsid w:val="004344AC"/>
    <w:rsid w:val="00434C4C"/>
    <w:rsid w:val="00434E30"/>
    <w:rsid w:val="00435E4E"/>
    <w:rsid w:val="004362AB"/>
    <w:rsid w:val="00437917"/>
    <w:rsid w:val="00442C3E"/>
    <w:rsid w:val="00444E23"/>
    <w:rsid w:val="00450E2C"/>
    <w:rsid w:val="004516F9"/>
    <w:rsid w:val="0045431F"/>
    <w:rsid w:val="00457A41"/>
    <w:rsid w:val="00461EE9"/>
    <w:rsid w:val="004648EC"/>
    <w:rsid w:val="00467767"/>
    <w:rsid w:val="004702A0"/>
    <w:rsid w:val="0047374D"/>
    <w:rsid w:val="004751B8"/>
    <w:rsid w:val="004808B1"/>
    <w:rsid w:val="004846D6"/>
    <w:rsid w:val="0049039F"/>
    <w:rsid w:val="00491C12"/>
    <w:rsid w:val="00497278"/>
    <w:rsid w:val="004974EA"/>
    <w:rsid w:val="004A1940"/>
    <w:rsid w:val="004B0D1E"/>
    <w:rsid w:val="004B6171"/>
    <w:rsid w:val="004C0A37"/>
    <w:rsid w:val="004C43FD"/>
    <w:rsid w:val="004C4BDB"/>
    <w:rsid w:val="004C6481"/>
    <w:rsid w:val="004D0704"/>
    <w:rsid w:val="004D29DE"/>
    <w:rsid w:val="004D476B"/>
    <w:rsid w:val="004D4B85"/>
    <w:rsid w:val="004E2681"/>
    <w:rsid w:val="004E2F45"/>
    <w:rsid w:val="004E3241"/>
    <w:rsid w:val="004E38D8"/>
    <w:rsid w:val="004E7ABA"/>
    <w:rsid w:val="004F17A3"/>
    <w:rsid w:val="004F3968"/>
    <w:rsid w:val="004F54C9"/>
    <w:rsid w:val="004F59DC"/>
    <w:rsid w:val="004F7EC1"/>
    <w:rsid w:val="005015EB"/>
    <w:rsid w:val="0050398B"/>
    <w:rsid w:val="00503B0E"/>
    <w:rsid w:val="00503C8C"/>
    <w:rsid w:val="005113E8"/>
    <w:rsid w:val="005125DE"/>
    <w:rsid w:val="00514489"/>
    <w:rsid w:val="00523CC2"/>
    <w:rsid w:val="0052406E"/>
    <w:rsid w:val="00524882"/>
    <w:rsid w:val="00526A36"/>
    <w:rsid w:val="00533763"/>
    <w:rsid w:val="0053698D"/>
    <w:rsid w:val="00540DB4"/>
    <w:rsid w:val="005416D7"/>
    <w:rsid w:val="00545C50"/>
    <w:rsid w:val="005462E4"/>
    <w:rsid w:val="0054706B"/>
    <w:rsid w:val="005520D9"/>
    <w:rsid w:val="0055270B"/>
    <w:rsid w:val="00555678"/>
    <w:rsid w:val="00562BD8"/>
    <w:rsid w:val="00563113"/>
    <w:rsid w:val="0056352A"/>
    <w:rsid w:val="0056447B"/>
    <w:rsid w:val="00565D28"/>
    <w:rsid w:val="00567E9E"/>
    <w:rsid w:val="00575D68"/>
    <w:rsid w:val="0057621A"/>
    <w:rsid w:val="00590485"/>
    <w:rsid w:val="00591B3B"/>
    <w:rsid w:val="00593E86"/>
    <w:rsid w:val="005941CC"/>
    <w:rsid w:val="005960FD"/>
    <w:rsid w:val="005A2C73"/>
    <w:rsid w:val="005A6C3F"/>
    <w:rsid w:val="005A79D1"/>
    <w:rsid w:val="005B1476"/>
    <w:rsid w:val="005B1BFE"/>
    <w:rsid w:val="005B3816"/>
    <w:rsid w:val="005C0785"/>
    <w:rsid w:val="005C0C50"/>
    <w:rsid w:val="005C1AEA"/>
    <w:rsid w:val="005C27D0"/>
    <w:rsid w:val="005C35CE"/>
    <w:rsid w:val="005C5AD0"/>
    <w:rsid w:val="005C6DA8"/>
    <w:rsid w:val="005C7576"/>
    <w:rsid w:val="005C76E7"/>
    <w:rsid w:val="005D67B0"/>
    <w:rsid w:val="005E1939"/>
    <w:rsid w:val="005E2C35"/>
    <w:rsid w:val="005E349E"/>
    <w:rsid w:val="005F2940"/>
    <w:rsid w:val="005F2BE4"/>
    <w:rsid w:val="005F40F5"/>
    <w:rsid w:val="005F4BAA"/>
    <w:rsid w:val="005F5C62"/>
    <w:rsid w:val="00601719"/>
    <w:rsid w:val="00603792"/>
    <w:rsid w:val="00603CC7"/>
    <w:rsid w:val="006041BB"/>
    <w:rsid w:val="00604D5A"/>
    <w:rsid w:val="00612345"/>
    <w:rsid w:val="00612484"/>
    <w:rsid w:val="00612567"/>
    <w:rsid w:val="0061306B"/>
    <w:rsid w:val="0061505B"/>
    <w:rsid w:val="0061690A"/>
    <w:rsid w:val="00616A3D"/>
    <w:rsid w:val="006206B6"/>
    <w:rsid w:val="00623427"/>
    <w:rsid w:val="006268CA"/>
    <w:rsid w:val="006275FB"/>
    <w:rsid w:val="00627F26"/>
    <w:rsid w:val="00634731"/>
    <w:rsid w:val="0063507D"/>
    <w:rsid w:val="0063587F"/>
    <w:rsid w:val="00635CC3"/>
    <w:rsid w:val="0063658D"/>
    <w:rsid w:val="00636C21"/>
    <w:rsid w:val="00637046"/>
    <w:rsid w:val="0063760A"/>
    <w:rsid w:val="00637C44"/>
    <w:rsid w:val="00643108"/>
    <w:rsid w:val="00652534"/>
    <w:rsid w:val="00653329"/>
    <w:rsid w:val="00653C6F"/>
    <w:rsid w:val="006567C0"/>
    <w:rsid w:val="00664D5A"/>
    <w:rsid w:val="00664DBA"/>
    <w:rsid w:val="0066617B"/>
    <w:rsid w:val="00666A9E"/>
    <w:rsid w:val="00666B4D"/>
    <w:rsid w:val="0067195E"/>
    <w:rsid w:val="006724AB"/>
    <w:rsid w:val="00673824"/>
    <w:rsid w:val="0067480C"/>
    <w:rsid w:val="0067715E"/>
    <w:rsid w:val="00677253"/>
    <w:rsid w:val="00680C81"/>
    <w:rsid w:val="00682A6E"/>
    <w:rsid w:val="00687101"/>
    <w:rsid w:val="00687B4B"/>
    <w:rsid w:val="00691E55"/>
    <w:rsid w:val="00694EE3"/>
    <w:rsid w:val="006952DB"/>
    <w:rsid w:val="006954D9"/>
    <w:rsid w:val="00695DE5"/>
    <w:rsid w:val="0069748A"/>
    <w:rsid w:val="00697BF6"/>
    <w:rsid w:val="00697DF7"/>
    <w:rsid w:val="006A09B0"/>
    <w:rsid w:val="006A1308"/>
    <w:rsid w:val="006A3511"/>
    <w:rsid w:val="006A6518"/>
    <w:rsid w:val="006B2C69"/>
    <w:rsid w:val="006B4D5E"/>
    <w:rsid w:val="006B76C4"/>
    <w:rsid w:val="006B7970"/>
    <w:rsid w:val="006C0063"/>
    <w:rsid w:val="006C21C0"/>
    <w:rsid w:val="006C265B"/>
    <w:rsid w:val="006C2F21"/>
    <w:rsid w:val="006C36F6"/>
    <w:rsid w:val="006D0494"/>
    <w:rsid w:val="006D2E6B"/>
    <w:rsid w:val="006D5B53"/>
    <w:rsid w:val="006D6402"/>
    <w:rsid w:val="006D67A1"/>
    <w:rsid w:val="006E1FED"/>
    <w:rsid w:val="006E2B85"/>
    <w:rsid w:val="006E468F"/>
    <w:rsid w:val="006E4974"/>
    <w:rsid w:val="006E66F9"/>
    <w:rsid w:val="006E6BA9"/>
    <w:rsid w:val="006F1D8B"/>
    <w:rsid w:val="006F2B6C"/>
    <w:rsid w:val="00707159"/>
    <w:rsid w:val="00710C0E"/>
    <w:rsid w:val="007110B2"/>
    <w:rsid w:val="0071278A"/>
    <w:rsid w:val="0071332B"/>
    <w:rsid w:val="0071378F"/>
    <w:rsid w:val="007150DF"/>
    <w:rsid w:val="00716385"/>
    <w:rsid w:val="00721713"/>
    <w:rsid w:val="007229E8"/>
    <w:rsid w:val="00723444"/>
    <w:rsid w:val="007238BF"/>
    <w:rsid w:val="00725EC7"/>
    <w:rsid w:val="00726604"/>
    <w:rsid w:val="007352D6"/>
    <w:rsid w:val="00735BEE"/>
    <w:rsid w:val="007408E3"/>
    <w:rsid w:val="00740B2F"/>
    <w:rsid w:val="00741D1A"/>
    <w:rsid w:val="00753C2D"/>
    <w:rsid w:val="00762729"/>
    <w:rsid w:val="00765F0A"/>
    <w:rsid w:val="0076688D"/>
    <w:rsid w:val="0076725C"/>
    <w:rsid w:val="00770B3F"/>
    <w:rsid w:val="007740EA"/>
    <w:rsid w:val="00790D06"/>
    <w:rsid w:val="00790EF8"/>
    <w:rsid w:val="00792C70"/>
    <w:rsid w:val="00792C98"/>
    <w:rsid w:val="00792DFF"/>
    <w:rsid w:val="00794020"/>
    <w:rsid w:val="007942D2"/>
    <w:rsid w:val="007954B2"/>
    <w:rsid w:val="00795FFF"/>
    <w:rsid w:val="007A2AD0"/>
    <w:rsid w:val="007A639B"/>
    <w:rsid w:val="007A66C8"/>
    <w:rsid w:val="007B09B1"/>
    <w:rsid w:val="007C19EB"/>
    <w:rsid w:val="007C445E"/>
    <w:rsid w:val="007C5FF1"/>
    <w:rsid w:val="007D181E"/>
    <w:rsid w:val="007D3C1D"/>
    <w:rsid w:val="007D748D"/>
    <w:rsid w:val="007D7D46"/>
    <w:rsid w:val="007E4ED9"/>
    <w:rsid w:val="007E64A1"/>
    <w:rsid w:val="007F2B7E"/>
    <w:rsid w:val="007F2BC8"/>
    <w:rsid w:val="007F5B82"/>
    <w:rsid w:val="007F6FD6"/>
    <w:rsid w:val="00801EF2"/>
    <w:rsid w:val="00801F7E"/>
    <w:rsid w:val="00802E7E"/>
    <w:rsid w:val="00806298"/>
    <w:rsid w:val="00810CF0"/>
    <w:rsid w:val="008110B7"/>
    <w:rsid w:val="00814E41"/>
    <w:rsid w:val="00817854"/>
    <w:rsid w:val="00817E79"/>
    <w:rsid w:val="00830A77"/>
    <w:rsid w:val="00831929"/>
    <w:rsid w:val="008322AF"/>
    <w:rsid w:val="00832429"/>
    <w:rsid w:val="00834A1E"/>
    <w:rsid w:val="00835692"/>
    <w:rsid w:val="00843A4B"/>
    <w:rsid w:val="00844BEE"/>
    <w:rsid w:val="00844ED2"/>
    <w:rsid w:val="008452C7"/>
    <w:rsid w:val="00845AB0"/>
    <w:rsid w:val="00850E9A"/>
    <w:rsid w:val="00851000"/>
    <w:rsid w:val="00867712"/>
    <w:rsid w:val="00870183"/>
    <w:rsid w:val="00872150"/>
    <w:rsid w:val="00872D17"/>
    <w:rsid w:val="008763CB"/>
    <w:rsid w:val="00876C90"/>
    <w:rsid w:val="008770AC"/>
    <w:rsid w:val="00881D97"/>
    <w:rsid w:val="008858FE"/>
    <w:rsid w:val="008862E6"/>
    <w:rsid w:val="008878D1"/>
    <w:rsid w:val="00894717"/>
    <w:rsid w:val="008958BB"/>
    <w:rsid w:val="008A27C2"/>
    <w:rsid w:val="008A2A60"/>
    <w:rsid w:val="008A4A5A"/>
    <w:rsid w:val="008A4B74"/>
    <w:rsid w:val="008B1E19"/>
    <w:rsid w:val="008C5EE3"/>
    <w:rsid w:val="008C6EB8"/>
    <w:rsid w:val="008C7E9B"/>
    <w:rsid w:val="008D0C57"/>
    <w:rsid w:val="008D371D"/>
    <w:rsid w:val="008E73B1"/>
    <w:rsid w:val="008F7C4F"/>
    <w:rsid w:val="0090030B"/>
    <w:rsid w:val="0090276B"/>
    <w:rsid w:val="00903DA4"/>
    <w:rsid w:val="009067FA"/>
    <w:rsid w:val="00914CBD"/>
    <w:rsid w:val="00914F0E"/>
    <w:rsid w:val="00915A78"/>
    <w:rsid w:val="00920648"/>
    <w:rsid w:val="009214D3"/>
    <w:rsid w:val="00925597"/>
    <w:rsid w:val="00925BB9"/>
    <w:rsid w:val="00934B0C"/>
    <w:rsid w:val="0093765D"/>
    <w:rsid w:val="00937821"/>
    <w:rsid w:val="00942100"/>
    <w:rsid w:val="00950827"/>
    <w:rsid w:val="00954516"/>
    <w:rsid w:val="00954C1C"/>
    <w:rsid w:val="0095700B"/>
    <w:rsid w:val="009576D9"/>
    <w:rsid w:val="00961914"/>
    <w:rsid w:val="0096306F"/>
    <w:rsid w:val="009701DD"/>
    <w:rsid w:val="00970953"/>
    <w:rsid w:val="009712B3"/>
    <w:rsid w:val="009735D7"/>
    <w:rsid w:val="009769B0"/>
    <w:rsid w:val="00980598"/>
    <w:rsid w:val="009836EB"/>
    <w:rsid w:val="00984C7F"/>
    <w:rsid w:val="00990815"/>
    <w:rsid w:val="009912B9"/>
    <w:rsid w:val="00992D86"/>
    <w:rsid w:val="009947BE"/>
    <w:rsid w:val="009955CE"/>
    <w:rsid w:val="00995ABC"/>
    <w:rsid w:val="00997E66"/>
    <w:rsid w:val="009A0F4E"/>
    <w:rsid w:val="009A43F5"/>
    <w:rsid w:val="009A52B1"/>
    <w:rsid w:val="009A6938"/>
    <w:rsid w:val="009B02E2"/>
    <w:rsid w:val="009B39C6"/>
    <w:rsid w:val="009B4B83"/>
    <w:rsid w:val="009B72F1"/>
    <w:rsid w:val="009B75C8"/>
    <w:rsid w:val="009C4FD2"/>
    <w:rsid w:val="009C5500"/>
    <w:rsid w:val="009C6347"/>
    <w:rsid w:val="009E5CB9"/>
    <w:rsid w:val="009F071E"/>
    <w:rsid w:val="009F2B22"/>
    <w:rsid w:val="009F7279"/>
    <w:rsid w:val="00A01044"/>
    <w:rsid w:val="00A0748D"/>
    <w:rsid w:val="00A07669"/>
    <w:rsid w:val="00A11352"/>
    <w:rsid w:val="00A11F67"/>
    <w:rsid w:val="00A127F1"/>
    <w:rsid w:val="00A1518F"/>
    <w:rsid w:val="00A161C0"/>
    <w:rsid w:val="00A16B33"/>
    <w:rsid w:val="00A170F1"/>
    <w:rsid w:val="00A236ED"/>
    <w:rsid w:val="00A345D6"/>
    <w:rsid w:val="00A40EB3"/>
    <w:rsid w:val="00A432E3"/>
    <w:rsid w:val="00A43E18"/>
    <w:rsid w:val="00A43F4F"/>
    <w:rsid w:val="00A44149"/>
    <w:rsid w:val="00A47326"/>
    <w:rsid w:val="00A5159E"/>
    <w:rsid w:val="00A546BA"/>
    <w:rsid w:val="00A55074"/>
    <w:rsid w:val="00A55966"/>
    <w:rsid w:val="00A57866"/>
    <w:rsid w:val="00A66275"/>
    <w:rsid w:val="00A67FEF"/>
    <w:rsid w:val="00A70CBA"/>
    <w:rsid w:val="00A72689"/>
    <w:rsid w:val="00A75DA2"/>
    <w:rsid w:val="00A760AD"/>
    <w:rsid w:val="00A765CE"/>
    <w:rsid w:val="00A81256"/>
    <w:rsid w:val="00A828B7"/>
    <w:rsid w:val="00A94942"/>
    <w:rsid w:val="00AA3163"/>
    <w:rsid w:val="00AA4095"/>
    <w:rsid w:val="00AB06A8"/>
    <w:rsid w:val="00AB0D6D"/>
    <w:rsid w:val="00AB222C"/>
    <w:rsid w:val="00AB352D"/>
    <w:rsid w:val="00AB45B2"/>
    <w:rsid w:val="00AB48EC"/>
    <w:rsid w:val="00AB5AAE"/>
    <w:rsid w:val="00AB786E"/>
    <w:rsid w:val="00AD2BA6"/>
    <w:rsid w:val="00AD3485"/>
    <w:rsid w:val="00AD36C0"/>
    <w:rsid w:val="00AE2BF1"/>
    <w:rsid w:val="00AE7BBE"/>
    <w:rsid w:val="00AE7F3F"/>
    <w:rsid w:val="00AF0522"/>
    <w:rsid w:val="00AF1609"/>
    <w:rsid w:val="00AF675F"/>
    <w:rsid w:val="00AF79D0"/>
    <w:rsid w:val="00B01E15"/>
    <w:rsid w:val="00B03471"/>
    <w:rsid w:val="00B0557F"/>
    <w:rsid w:val="00B06C0D"/>
    <w:rsid w:val="00B1318B"/>
    <w:rsid w:val="00B17B90"/>
    <w:rsid w:val="00B232FF"/>
    <w:rsid w:val="00B26AD4"/>
    <w:rsid w:val="00B277EE"/>
    <w:rsid w:val="00B32183"/>
    <w:rsid w:val="00B42BC9"/>
    <w:rsid w:val="00B4691C"/>
    <w:rsid w:val="00B50C06"/>
    <w:rsid w:val="00B52E8C"/>
    <w:rsid w:val="00B53CC4"/>
    <w:rsid w:val="00B55398"/>
    <w:rsid w:val="00B5559D"/>
    <w:rsid w:val="00B564A6"/>
    <w:rsid w:val="00B63E50"/>
    <w:rsid w:val="00B6647D"/>
    <w:rsid w:val="00B6749A"/>
    <w:rsid w:val="00B676A5"/>
    <w:rsid w:val="00B67E9D"/>
    <w:rsid w:val="00B73A67"/>
    <w:rsid w:val="00B7614A"/>
    <w:rsid w:val="00B76209"/>
    <w:rsid w:val="00B81E08"/>
    <w:rsid w:val="00B842F2"/>
    <w:rsid w:val="00B90BE7"/>
    <w:rsid w:val="00B9185D"/>
    <w:rsid w:val="00B94B37"/>
    <w:rsid w:val="00B9625A"/>
    <w:rsid w:val="00B9740D"/>
    <w:rsid w:val="00BA2DEC"/>
    <w:rsid w:val="00BB2F70"/>
    <w:rsid w:val="00BB6F3C"/>
    <w:rsid w:val="00BC17F1"/>
    <w:rsid w:val="00BC488E"/>
    <w:rsid w:val="00BC5EA6"/>
    <w:rsid w:val="00BC7A12"/>
    <w:rsid w:val="00BD11C3"/>
    <w:rsid w:val="00BD11DC"/>
    <w:rsid w:val="00BD47CA"/>
    <w:rsid w:val="00BD4D67"/>
    <w:rsid w:val="00BD5CDA"/>
    <w:rsid w:val="00BE4B48"/>
    <w:rsid w:val="00BE716D"/>
    <w:rsid w:val="00BF14B7"/>
    <w:rsid w:val="00BF27C4"/>
    <w:rsid w:val="00BF2DDE"/>
    <w:rsid w:val="00BF3973"/>
    <w:rsid w:val="00BF5928"/>
    <w:rsid w:val="00BF5E36"/>
    <w:rsid w:val="00BF6589"/>
    <w:rsid w:val="00C020F6"/>
    <w:rsid w:val="00C02649"/>
    <w:rsid w:val="00C03AAB"/>
    <w:rsid w:val="00C105A0"/>
    <w:rsid w:val="00C1316D"/>
    <w:rsid w:val="00C20B52"/>
    <w:rsid w:val="00C226CB"/>
    <w:rsid w:val="00C237E9"/>
    <w:rsid w:val="00C249FA"/>
    <w:rsid w:val="00C2683F"/>
    <w:rsid w:val="00C301E9"/>
    <w:rsid w:val="00C4020C"/>
    <w:rsid w:val="00C40CAA"/>
    <w:rsid w:val="00C55A03"/>
    <w:rsid w:val="00C56366"/>
    <w:rsid w:val="00C57ABA"/>
    <w:rsid w:val="00C60079"/>
    <w:rsid w:val="00C62510"/>
    <w:rsid w:val="00C63E66"/>
    <w:rsid w:val="00C65BC6"/>
    <w:rsid w:val="00C671BA"/>
    <w:rsid w:val="00C6783D"/>
    <w:rsid w:val="00C73918"/>
    <w:rsid w:val="00C73AE3"/>
    <w:rsid w:val="00C73C9F"/>
    <w:rsid w:val="00C73CA5"/>
    <w:rsid w:val="00C7568E"/>
    <w:rsid w:val="00C77D5D"/>
    <w:rsid w:val="00C82F8B"/>
    <w:rsid w:val="00C86035"/>
    <w:rsid w:val="00C87017"/>
    <w:rsid w:val="00C92161"/>
    <w:rsid w:val="00C92E40"/>
    <w:rsid w:val="00CA03D6"/>
    <w:rsid w:val="00CA2DDD"/>
    <w:rsid w:val="00CA2FA4"/>
    <w:rsid w:val="00CA7310"/>
    <w:rsid w:val="00CA76C7"/>
    <w:rsid w:val="00CA76F8"/>
    <w:rsid w:val="00CA7887"/>
    <w:rsid w:val="00CB1382"/>
    <w:rsid w:val="00CB1FC5"/>
    <w:rsid w:val="00CB4486"/>
    <w:rsid w:val="00CC17F7"/>
    <w:rsid w:val="00CC256B"/>
    <w:rsid w:val="00CC3C21"/>
    <w:rsid w:val="00CC7209"/>
    <w:rsid w:val="00CD24EB"/>
    <w:rsid w:val="00CE7C9E"/>
    <w:rsid w:val="00CF094D"/>
    <w:rsid w:val="00CF444F"/>
    <w:rsid w:val="00D016FC"/>
    <w:rsid w:val="00D02375"/>
    <w:rsid w:val="00D03395"/>
    <w:rsid w:val="00D03596"/>
    <w:rsid w:val="00D0438E"/>
    <w:rsid w:val="00D061F5"/>
    <w:rsid w:val="00D21539"/>
    <w:rsid w:val="00D2272B"/>
    <w:rsid w:val="00D24352"/>
    <w:rsid w:val="00D3128E"/>
    <w:rsid w:val="00D33176"/>
    <w:rsid w:val="00D33648"/>
    <w:rsid w:val="00D33939"/>
    <w:rsid w:val="00D378D9"/>
    <w:rsid w:val="00D42117"/>
    <w:rsid w:val="00D42C6E"/>
    <w:rsid w:val="00D42E5F"/>
    <w:rsid w:val="00D43678"/>
    <w:rsid w:val="00D461DF"/>
    <w:rsid w:val="00D50589"/>
    <w:rsid w:val="00D50819"/>
    <w:rsid w:val="00D50D26"/>
    <w:rsid w:val="00D52072"/>
    <w:rsid w:val="00D54B95"/>
    <w:rsid w:val="00D54EBF"/>
    <w:rsid w:val="00D55E2F"/>
    <w:rsid w:val="00D7131B"/>
    <w:rsid w:val="00D7270B"/>
    <w:rsid w:val="00D7393A"/>
    <w:rsid w:val="00D75C8F"/>
    <w:rsid w:val="00D77A36"/>
    <w:rsid w:val="00D84F45"/>
    <w:rsid w:val="00D85233"/>
    <w:rsid w:val="00D85C5E"/>
    <w:rsid w:val="00D86BA3"/>
    <w:rsid w:val="00D921F7"/>
    <w:rsid w:val="00D94859"/>
    <w:rsid w:val="00DB33FD"/>
    <w:rsid w:val="00DB3AC7"/>
    <w:rsid w:val="00DB3C3D"/>
    <w:rsid w:val="00DB742C"/>
    <w:rsid w:val="00DC4161"/>
    <w:rsid w:val="00DC4976"/>
    <w:rsid w:val="00DC79BE"/>
    <w:rsid w:val="00DD032B"/>
    <w:rsid w:val="00DD1445"/>
    <w:rsid w:val="00DD2952"/>
    <w:rsid w:val="00DE0162"/>
    <w:rsid w:val="00DE202D"/>
    <w:rsid w:val="00DF5389"/>
    <w:rsid w:val="00E00D1E"/>
    <w:rsid w:val="00E0258A"/>
    <w:rsid w:val="00E03197"/>
    <w:rsid w:val="00E034EE"/>
    <w:rsid w:val="00E060E2"/>
    <w:rsid w:val="00E144B8"/>
    <w:rsid w:val="00E24F5B"/>
    <w:rsid w:val="00E30A8F"/>
    <w:rsid w:val="00E32C63"/>
    <w:rsid w:val="00E331DE"/>
    <w:rsid w:val="00E34907"/>
    <w:rsid w:val="00E35785"/>
    <w:rsid w:val="00E3641B"/>
    <w:rsid w:val="00E36D7A"/>
    <w:rsid w:val="00E37BFD"/>
    <w:rsid w:val="00E40571"/>
    <w:rsid w:val="00E405FA"/>
    <w:rsid w:val="00E410CF"/>
    <w:rsid w:val="00E425AC"/>
    <w:rsid w:val="00E43E0D"/>
    <w:rsid w:val="00E46B6C"/>
    <w:rsid w:val="00E46DC1"/>
    <w:rsid w:val="00E504EA"/>
    <w:rsid w:val="00E55116"/>
    <w:rsid w:val="00E552A6"/>
    <w:rsid w:val="00E601F6"/>
    <w:rsid w:val="00E675E1"/>
    <w:rsid w:val="00E676F1"/>
    <w:rsid w:val="00E67E4F"/>
    <w:rsid w:val="00E7008F"/>
    <w:rsid w:val="00E7210B"/>
    <w:rsid w:val="00E731B3"/>
    <w:rsid w:val="00E73411"/>
    <w:rsid w:val="00E81DC1"/>
    <w:rsid w:val="00E8527C"/>
    <w:rsid w:val="00E91076"/>
    <w:rsid w:val="00E912B4"/>
    <w:rsid w:val="00E93AF4"/>
    <w:rsid w:val="00E94198"/>
    <w:rsid w:val="00E95376"/>
    <w:rsid w:val="00EA38B1"/>
    <w:rsid w:val="00EC033A"/>
    <w:rsid w:val="00EC167D"/>
    <w:rsid w:val="00EC48EF"/>
    <w:rsid w:val="00EC4FBF"/>
    <w:rsid w:val="00EC535B"/>
    <w:rsid w:val="00EC7F2A"/>
    <w:rsid w:val="00ED4359"/>
    <w:rsid w:val="00ED4C6F"/>
    <w:rsid w:val="00EE3159"/>
    <w:rsid w:val="00EE6975"/>
    <w:rsid w:val="00EE6B47"/>
    <w:rsid w:val="00EF5E85"/>
    <w:rsid w:val="00F004E6"/>
    <w:rsid w:val="00F010D2"/>
    <w:rsid w:val="00F013B8"/>
    <w:rsid w:val="00F0146A"/>
    <w:rsid w:val="00F01F78"/>
    <w:rsid w:val="00F032B8"/>
    <w:rsid w:val="00F039BB"/>
    <w:rsid w:val="00F044BF"/>
    <w:rsid w:val="00F07ADC"/>
    <w:rsid w:val="00F11315"/>
    <w:rsid w:val="00F11322"/>
    <w:rsid w:val="00F118C0"/>
    <w:rsid w:val="00F15348"/>
    <w:rsid w:val="00F20395"/>
    <w:rsid w:val="00F21864"/>
    <w:rsid w:val="00F22504"/>
    <w:rsid w:val="00F27A65"/>
    <w:rsid w:val="00F31A69"/>
    <w:rsid w:val="00F411C2"/>
    <w:rsid w:val="00F45A88"/>
    <w:rsid w:val="00F4691A"/>
    <w:rsid w:val="00F47701"/>
    <w:rsid w:val="00F51C3A"/>
    <w:rsid w:val="00F52130"/>
    <w:rsid w:val="00F60965"/>
    <w:rsid w:val="00F60A30"/>
    <w:rsid w:val="00F66675"/>
    <w:rsid w:val="00F706E1"/>
    <w:rsid w:val="00F70FD1"/>
    <w:rsid w:val="00F719EB"/>
    <w:rsid w:val="00F74F40"/>
    <w:rsid w:val="00F76908"/>
    <w:rsid w:val="00F8129D"/>
    <w:rsid w:val="00F82734"/>
    <w:rsid w:val="00F83F89"/>
    <w:rsid w:val="00F84BE9"/>
    <w:rsid w:val="00F8512F"/>
    <w:rsid w:val="00F906E4"/>
    <w:rsid w:val="00F9604D"/>
    <w:rsid w:val="00F974E5"/>
    <w:rsid w:val="00F97BCF"/>
    <w:rsid w:val="00FA0A17"/>
    <w:rsid w:val="00FA30FA"/>
    <w:rsid w:val="00FA6657"/>
    <w:rsid w:val="00FA7D64"/>
    <w:rsid w:val="00FB2546"/>
    <w:rsid w:val="00FB2AB5"/>
    <w:rsid w:val="00FB36AF"/>
    <w:rsid w:val="00FB5640"/>
    <w:rsid w:val="00FB5ECF"/>
    <w:rsid w:val="00FD0DF0"/>
    <w:rsid w:val="00FD1D68"/>
    <w:rsid w:val="00FD3A90"/>
    <w:rsid w:val="00FD40BB"/>
    <w:rsid w:val="00FE3673"/>
    <w:rsid w:val="00FE6565"/>
    <w:rsid w:val="00FF0E56"/>
    <w:rsid w:val="00FF1500"/>
    <w:rsid w:val="00FF2F48"/>
    <w:rsid w:val="00FF3080"/>
    <w:rsid w:val="00FF4ACA"/>
    <w:rsid w:val="00FF51A3"/>
    <w:rsid w:val="00FF62E0"/>
    <w:rsid w:val="01050F22"/>
    <w:rsid w:val="01616169"/>
    <w:rsid w:val="01A544B3"/>
    <w:rsid w:val="01BB0FB0"/>
    <w:rsid w:val="01DF624F"/>
    <w:rsid w:val="01FB4854"/>
    <w:rsid w:val="02B7517C"/>
    <w:rsid w:val="03125B78"/>
    <w:rsid w:val="040C2FA4"/>
    <w:rsid w:val="04177352"/>
    <w:rsid w:val="05022463"/>
    <w:rsid w:val="051E0804"/>
    <w:rsid w:val="05A54A82"/>
    <w:rsid w:val="05AA0535"/>
    <w:rsid w:val="05EA2DDC"/>
    <w:rsid w:val="05EC445F"/>
    <w:rsid w:val="0627193B"/>
    <w:rsid w:val="06577474"/>
    <w:rsid w:val="06693D01"/>
    <w:rsid w:val="06695809"/>
    <w:rsid w:val="067D155B"/>
    <w:rsid w:val="077F43B3"/>
    <w:rsid w:val="07AD4C9F"/>
    <w:rsid w:val="07CB432F"/>
    <w:rsid w:val="07D1358A"/>
    <w:rsid w:val="08395955"/>
    <w:rsid w:val="088160F1"/>
    <w:rsid w:val="08E70977"/>
    <w:rsid w:val="08F655F4"/>
    <w:rsid w:val="09265ED9"/>
    <w:rsid w:val="09BD49D9"/>
    <w:rsid w:val="09E663FF"/>
    <w:rsid w:val="09FE29B2"/>
    <w:rsid w:val="0AE147AE"/>
    <w:rsid w:val="0B50723E"/>
    <w:rsid w:val="0B512FB6"/>
    <w:rsid w:val="0B725406"/>
    <w:rsid w:val="0BD107F3"/>
    <w:rsid w:val="0BF80A35"/>
    <w:rsid w:val="0C4843B9"/>
    <w:rsid w:val="0C656D19"/>
    <w:rsid w:val="0DE76099"/>
    <w:rsid w:val="0E042561"/>
    <w:rsid w:val="0E59465B"/>
    <w:rsid w:val="0EFD148A"/>
    <w:rsid w:val="0F024CF3"/>
    <w:rsid w:val="0F3D0D9C"/>
    <w:rsid w:val="0F64150A"/>
    <w:rsid w:val="0FB464C2"/>
    <w:rsid w:val="10246EEB"/>
    <w:rsid w:val="102B0279"/>
    <w:rsid w:val="103C5FE2"/>
    <w:rsid w:val="106907B9"/>
    <w:rsid w:val="10741C20"/>
    <w:rsid w:val="10AC760C"/>
    <w:rsid w:val="10B97633"/>
    <w:rsid w:val="122D652B"/>
    <w:rsid w:val="125F420A"/>
    <w:rsid w:val="12837EF9"/>
    <w:rsid w:val="12C97B2F"/>
    <w:rsid w:val="13443F37"/>
    <w:rsid w:val="14A56265"/>
    <w:rsid w:val="156009C5"/>
    <w:rsid w:val="16056E9F"/>
    <w:rsid w:val="168B3820"/>
    <w:rsid w:val="16900E36"/>
    <w:rsid w:val="16F2564D"/>
    <w:rsid w:val="170A6E3A"/>
    <w:rsid w:val="17591B70"/>
    <w:rsid w:val="177B7D38"/>
    <w:rsid w:val="17884E38"/>
    <w:rsid w:val="17936E30"/>
    <w:rsid w:val="17D654AF"/>
    <w:rsid w:val="17DB69B4"/>
    <w:rsid w:val="18277578"/>
    <w:rsid w:val="18291542"/>
    <w:rsid w:val="18C07F38"/>
    <w:rsid w:val="18C82B09"/>
    <w:rsid w:val="195F3480"/>
    <w:rsid w:val="196B55C7"/>
    <w:rsid w:val="19830248"/>
    <w:rsid w:val="19960F97"/>
    <w:rsid w:val="19962C07"/>
    <w:rsid w:val="19D35C0A"/>
    <w:rsid w:val="1B3426D8"/>
    <w:rsid w:val="1BAF1D5E"/>
    <w:rsid w:val="1BBD091F"/>
    <w:rsid w:val="1BEF2DF2"/>
    <w:rsid w:val="1BF43C15"/>
    <w:rsid w:val="1C0302FC"/>
    <w:rsid w:val="1C984EE8"/>
    <w:rsid w:val="1CA64C9C"/>
    <w:rsid w:val="1CFA525B"/>
    <w:rsid w:val="1D5E3A3C"/>
    <w:rsid w:val="1D69418F"/>
    <w:rsid w:val="1D724E0F"/>
    <w:rsid w:val="1DA11B7B"/>
    <w:rsid w:val="1DD3037F"/>
    <w:rsid w:val="1E2702D2"/>
    <w:rsid w:val="1E991F2C"/>
    <w:rsid w:val="1EB3600A"/>
    <w:rsid w:val="1F077B62"/>
    <w:rsid w:val="1F4122F9"/>
    <w:rsid w:val="1FA46BD3"/>
    <w:rsid w:val="1FB02549"/>
    <w:rsid w:val="201B5C14"/>
    <w:rsid w:val="202F79A2"/>
    <w:rsid w:val="209B0B03"/>
    <w:rsid w:val="209D5157"/>
    <w:rsid w:val="20A26336"/>
    <w:rsid w:val="20CB6B01"/>
    <w:rsid w:val="20CF1031"/>
    <w:rsid w:val="20DC2F6A"/>
    <w:rsid w:val="218D2B42"/>
    <w:rsid w:val="21BD1457"/>
    <w:rsid w:val="21E14C3C"/>
    <w:rsid w:val="21EF135E"/>
    <w:rsid w:val="22160D89"/>
    <w:rsid w:val="22891C74"/>
    <w:rsid w:val="229879F0"/>
    <w:rsid w:val="229C1D23"/>
    <w:rsid w:val="22DF0D97"/>
    <w:rsid w:val="23D20CE0"/>
    <w:rsid w:val="242E1C8E"/>
    <w:rsid w:val="24967F5F"/>
    <w:rsid w:val="24A7216D"/>
    <w:rsid w:val="24E52C95"/>
    <w:rsid w:val="24F35209"/>
    <w:rsid w:val="25074388"/>
    <w:rsid w:val="25104A4A"/>
    <w:rsid w:val="256736AA"/>
    <w:rsid w:val="25733DFD"/>
    <w:rsid w:val="257C2079"/>
    <w:rsid w:val="258366AA"/>
    <w:rsid w:val="25D81B1E"/>
    <w:rsid w:val="261C4494"/>
    <w:rsid w:val="26C62652"/>
    <w:rsid w:val="274912B9"/>
    <w:rsid w:val="278247CB"/>
    <w:rsid w:val="27FD20A3"/>
    <w:rsid w:val="285F4B0C"/>
    <w:rsid w:val="293159F3"/>
    <w:rsid w:val="296C74E1"/>
    <w:rsid w:val="29920994"/>
    <w:rsid w:val="299E2A5C"/>
    <w:rsid w:val="2A151926"/>
    <w:rsid w:val="2B2F6A18"/>
    <w:rsid w:val="2B6A5CA2"/>
    <w:rsid w:val="2B6B71BF"/>
    <w:rsid w:val="2BD80E5D"/>
    <w:rsid w:val="2C027C88"/>
    <w:rsid w:val="2D1B54A6"/>
    <w:rsid w:val="2DCC054E"/>
    <w:rsid w:val="2DF950BB"/>
    <w:rsid w:val="2E0F2B31"/>
    <w:rsid w:val="2E1B14D5"/>
    <w:rsid w:val="2EB86D24"/>
    <w:rsid w:val="2FDB716E"/>
    <w:rsid w:val="305675B0"/>
    <w:rsid w:val="3073521F"/>
    <w:rsid w:val="30FF6E8C"/>
    <w:rsid w:val="317433D6"/>
    <w:rsid w:val="3191788B"/>
    <w:rsid w:val="31CA749A"/>
    <w:rsid w:val="31EA18EB"/>
    <w:rsid w:val="32892B1E"/>
    <w:rsid w:val="32E777CB"/>
    <w:rsid w:val="331665FC"/>
    <w:rsid w:val="333472C1"/>
    <w:rsid w:val="33D4015C"/>
    <w:rsid w:val="33F7209D"/>
    <w:rsid w:val="34140EA1"/>
    <w:rsid w:val="34A85964"/>
    <w:rsid w:val="34B47F8E"/>
    <w:rsid w:val="350B5E00"/>
    <w:rsid w:val="355F614C"/>
    <w:rsid w:val="3587586E"/>
    <w:rsid w:val="367F4CF7"/>
    <w:rsid w:val="36A24822"/>
    <w:rsid w:val="36BB3856"/>
    <w:rsid w:val="36C14EC9"/>
    <w:rsid w:val="36E36908"/>
    <w:rsid w:val="371C1A25"/>
    <w:rsid w:val="37305FF2"/>
    <w:rsid w:val="38064E37"/>
    <w:rsid w:val="38983E4E"/>
    <w:rsid w:val="38AE31BD"/>
    <w:rsid w:val="38D83370"/>
    <w:rsid w:val="3925145A"/>
    <w:rsid w:val="39867B0D"/>
    <w:rsid w:val="398E6FFF"/>
    <w:rsid w:val="39AA433B"/>
    <w:rsid w:val="39AF26DA"/>
    <w:rsid w:val="39E7040C"/>
    <w:rsid w:val="39F5707E"/>
    <w:rsid w:val="3A451DB4"/>
    <w:rsid w:val="3ADA76DA"/>
    <w:rsid w:val="3B043A1D"/>
    <w:rsid w:val="3B3C0CE1"/>
    <w:rsid w:val="3B451940"/>
    <w:rsid w:val="3B9E560F"/>
    <w:rsid w:val="3BCB62E9"/>
    <w:rsid w:val="3BDF3B42"/>
    <w:rsid w:val="3C6F3118"/>
    <w:rsid w:val="3D540560"/>
    <w:rsid w:val="3D9020E8"/>
    <w:rsid w:val="3DA20817"/>
    <w:rsid w:val="3EE31B9B"/>
    <w:rsid w:val="3F826728"/>
    <w:rsid w:val="3FB3156E"/>
    <w:rsid w:val="4041301D"/>
    <w:rsid w:val="40523A4C"/>
    <w:rsid w:val="40555BB9"/>
    <w:rsid w:val="407231D7"/>
    <w:rsid w:val="40BD17EF"/>
    <w:rsid w:val="40EB1D66"/>
    <w:rsid w:val="40F4048C"/>
    <w:rsid w:val="411C3143"/>
    <w:rsid w:val="41250FC5"/>
    <w:rsid w:val="412C782A"/>
    <w:rsid w:val="417E7959"/>
    <w:rsid w:val="41807B75"/>
    <w:rsid w:val="420E191A"/>
    <w:rsid w:val="4259773D"/>
    <w:rsid w:val="42BF647C"/>
    <w:rsid w:val="437234EE"/>
    <w:rsid w:val="43A833B4"/>
    <w:rsid w:val="442703DD"/>
    <w:rsid w:val="44883346"/>
    <w:rsid w:val="450D34CE"/>
    <w:rsid w:val="45244CBC"/>
    <w:rsid w:val="452627E2"/>
    <w:rsid w:val="45C51FFB"/>
    <w:rsid w:val="45C85647"/>
    <w:rsid w:val="45EF52CA"/>
    <w:rsid w:val="460B3D58"/>
    <w:rsid w:val="46205483"/>
    <w:rsid w:val="465D2233"/>
    <w:rsid w:val="466C06C8"/>
    <w:rsid w:val="46790B9E"/>
    <w:rsid w:val="478B288A"/>
    <w:rsid w:val="478F4653"/>
    <w:rsid w:val="47A76D05"/>
    <w:rsid w:val="47AA594C"/>
    <w:rsid w:val="480B3C03"/>
    <w:rsid w:val="48272AF9"/>
    <w:rsid w:val="484723A8"/>
    <w:rsid w:val="49402EEF"/>
    <w:rsid w:val="496658A3"/>
    <w:rsid w:val="49746212"/>
    <w:rsid w:val="49923A0C"/>
    <w:rsid w:val="4A3B6D2F"/>
    <w:rsid w:val="4A8F4985"/>
    <w:rsid w:val="4AEC2662"/>
    <w:rsid w:val="4B4B0316"/>
    <w:rsid w:val="4B636F99"/>
    <w:rsid w:val="4BBC5C4E"/>
    <w:rsid w:val="4C6D136E"/>
    <w:rsid w:val="4C6D32CA"/>
    <w:rsid w:val="4C742085"/>
    <w:rsid w:val="4CCE5C39"/>
    <w:rsid w:val="4CF66F3E"/>
    <w:rsid w:val="4D3A1520"/>
    <w:rsid w:val="4D423924"/>
    <w:rsid w:val="4DCB203A"/>
    <w:rsid w:val="4DEF142D"/>
    <w:rsid w:val="4E031912"/>
    <w:rsid w:val="4E867CD5"/>
    <w:rsid w:val="4ECF6625"/>
    <w:rsid w:val="4F905428"/>
    <w:rsid w:val="4FCB2904"/>
    <w:rsid w:val="4FE43BD6"/>
    <w:rsid w:val="50067498"/>
    <w:rsid w:val="50575F45"/>
    <w:rsid w:val="50EA500B"/>
    <w:rsid w:val="5133250E"/>
    <w:rsid w:val="52B17225"/>
    <w:rsid w:val="52E13235"/>
    <w:rsid w:val="52EC166D"/>
    <w:rsid w:val="52ED7480"/>
    <w:rsid w:val="534D108E"/>
    <w:rsid w:val="53717C06"/>
    <w:rsid w:val="53A96AB8"/>
    <w:rsid w:val="53B27FC3"/>
    <w:rsid w:val="542749D4"/>
    <w:rsid w:val="54A84FC1"/>
    <w:rsid w:val="54E67898"/>
    <w:rsid w:val="551A48EF"/>
    <w:rsid w:val="55436A98"/>
    <w:rsid w:val="557F21C6"/>
    <w:rsid w:val="55AF412E"/>
    <w:rsid w:val="563433C5"/>
    <w:rsid w:val="5640122A"/>
    <w:rsid w:val="566273F2"/>
    <w:rsid w:val="57BD4B8F"/>
    <w:rsid w:val="57E22CA5"/>
    <w:rsid w:val="57E5266B"/>
    <w:rsid w:val="58ED4252"/>
    <w:rsid w:val="59575208"/>
    <w:rsid w:val="596A6CE9"/>
    <w:rsid w:val="598B6C60"/>
    <w:rsid w:val="59CE22C7"/>
    <w:rsid w:val="59D050BB"/>
    <w:rsid w:val="59F25A39"/>
    <w:rsid w:val="5A3C1AC0"/>
    <w:rsid w:val="5A93401E"/>
    <w:rsid w:val="5ABA77FD"/>
    <w:rsid w:val="5B1E779B"/>
    <w:rsid w:val="5B5437AD"/>
    <w:rsid w:val="5B61411C"/>
    <w:rsid w:val="5BD668B8"/>
    <w:rsid w:val="5BFF0EDF"/>
    <w:rsid w:val="5CB54F34"/>
    <w:rsid w:val="5D59154F"/>
    <w:rsid w:val="5D9B1B67"/>
    <w:rsid w:val="5DA30B5A"/>
    <w:rsid w:val="5DAB5B22"/>
    <w:rsid w:val="5DDE1A54"/>
    <w:rsid w:val="5DF23751"/>
    <w:rsid w:val="5E5341F0"/>
    <w:rsid w:val="5EB804F7"/>
    <w:rsid w:val="5EDF3D92"/>
    <w:rsid w:val="5F9A7BFD"/>
    <w:rsid w:val="5FDE21DF"/>
    <w:rsid w:val="603718EF"/>
    <w:rsid w:val="60894EB2"/>
    <w:rsid w:val="60D4713E"/>
    <w:rsid w:val="615838CB"/>
    <w:rsid w:val="619A2136"/>
    <w:rsid w:val="61BC315C"/>
    <w:rsid w:val="61E810F3"/>
    <w:rsid w:val="626A3B5D"/>
    <w:rsid w:val="627B1F67"/>
    <w:rsid w:val="62D02D0B"/>
    <w:rsid w:val="62D6719E"/>
    <w:rsid w:val="633A5960"/>
    <w:rsid w:val="63CD05A1"/>
    <w:rsid w:val="63D062E3"/>
    <w:rsid w:val="63DC6E2C"/>
    <w:rsid w:val="63F21DB5"/>
    <w:rsid w:val="64340620"/>
    <w:rsid w:val="643C1282"/>
    <w:rsid w:val="64547DE4"/>
    <w:rsid w:val="6457430E"/>
    <w:rsid w:val="64713622"/>
    <w:rsid w:val="647E7AED"/>
    <w:rsid w:val="65183A9D"/>
    <w:rsid w:val="655F347A"/>
    <w:rsid w:val="65864EAB"/>
    <w:rsid w:val="65C87292"/>
    <w:rsid w:val="66144017"/>
    <w:rsid w:val="66214440"/>
    <w:rsid w:val="66291CDA"/>
    <w:rsid w:val="663E522D"/>
    <w:rsid w:val="66EC6F90"/>
    <w:rsid w:val="67674630"/>
    <w:rsid w:val="69733998"/>
    <w:rsid w:val="6AD279A3"/>
    <w:rsid w:val="6B361121"/>
    <w:rsid w:val="6B5042B7"/>
    <w:rsid w:val="6BA75B7B"/>
    <w:rsid w:val="6BC4672D"/>
    <w:rsid w:val="6C8B34FC"/>
    <w:rsid w:val="6CD24E7A"/>
    <w:rsid w:val="6D4F12CD"/>
    <w:rsid w:val="6FC860C0"/>
    <w:rsid w:val="6FEE42CC"/>
    <w:rsid w:val="704A2F79"/>
    <w:rsid w:val="704F233D"/>
    <w:rsid w:val="706C1141"/>
    <w:rsid w:val="7080699B"/>
    <w:rsid w:val="70C96594"/>
    <w:rsid w:val="70CF50AF"/>
    <w:rsid w:val="71007D30"/>
    <w:rsid w:val="710D6480"/>
    <w:rsid w:val="71155C82"/>
    <w:rsid w:val="717F4C96"/>
    <w:rsid w:val="719A3A8C"/>
    <w:rsid w:val="71BF4515"/>
    <w:rsid w:val="71C97C3F"/>
    <w:rsid w:val="71D8418B"/>
    <w:rsid w:val="72936F82"/>
    <w:rsid w:val="7295497F"/>
    <w:rsid w:val="72E32531"/>
    <w:rsid w:val="73244902"/>
    <w:rsid w:val="734336D9"/>
    <w:rsid w:val="73942E89"/>
    <w:rsid w:val="742F4960"/>
    <w:rsid w:val="74604B19"/>
    <w:rsid w:val="747247FB"/>
    <w:rsid w:val="74B84955"/>
    <w:rsid w:val="74EE481B"/>
    <w:rsid w:val="74FA7E4E"/>
    <w:rsid w:val="7553467E"/>
    <w:rsid w:val="75622B13"/>
    <w:rsid w:val="75A1338B"/>
    <w:rsid w:val="75B07D22"/>
    <w:rsid w:val="765336FE"/>
    <w:rsid w:val="76742AFE"/>
    <w:rsid w:val="77155DD6"/>
    <w:rsid w:val="773109EF"/>
    <w:rsid w:val="77846D70"/>
    <w:rsid w:val="78197E01"/>
    <w:rsid w:val="78460214"/>
    <w:rsid w:val="78872FBC"/>
    <w:rsid w:val="79154C3B"/>
    <w:rsid w:val="7A17211E"/>
    <w:rsid w:val="7A290C7B"/>
    <w:rsid w:val="7AE83ABA"/>
    <w:rsid w:val="7AE91D0C"/>
    <w:rsid w:val="7AF27FBE"/>
    <w:rsid w:val="7B4E1B6F"/>
    <w:rsid w:val="7C444F7A"/>
    <w:rsid w:val="7C831CEC"/>
    <w:rsid w:val="7D1172F8"/>
    <w:rsid w:val="7D20753B"/>
    <w:rsid w:val="7DB06B11"/>
    <w:rsid w:val="7DC14075"/>
    <w:rsid w:val="7DEB18F7"/>
    <w:rsid w:val="7E9F0934"/>
    <w:rsid w:val="7F7A41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9"/>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6">
    <w:name w:val="Body Text"/>
    <w:basedOn w:val="1"/>
    <w:link w:val="36"/>
    <w:semiHidden/>
    <w:unhideWhenUsed/>
    <w:qFormat/>
    <w:uiPriority w:val="99"/>
    <w:pPr>
      <w:spacing w:after="120"/>
    </w:pPr>
  </w:style>
  <w:style w:type="paragraph" w:styleId="7">
    <w:name w:val="Block Text"/>
    <w:basedOn w:val="1"/>
    <w:next w:val="1"/>
    <w:qFormat/>
    <w:uiPriority w:val="99"/>
    <w:pPr>
      <w:autoSpaceDE w:val="0"/>
      <w:autoSpaceDN w:val="0"/>
      <w:adjustRightInd w:val="0"/>
      <w:ind w:left="256" w:right="6" w:firstLine="624" w:firstLineChars="200"/>
    </w:pPr>
    <w:rPr>
      <w:rFonts w:eastAsia="仿宋_GB2312"/>
      <w:kern w:val="0"/>
      <w:sz w:val="28"/>
      <w:szCs w:val="20"/>
    </w:rPr>
  </w:style>
  <w:style w:type="paragraph" w:styleId="8">
    <w:name w:val="Plain Text"/>
    <w:basedOn w:val="1"/>
    <w:link w:val="63"/>
    <w:qFormat/>
    <w:uiPriority w:val="0"/>
    <w:rPr>
      <w:rFonts w:ascii="宋体" w:hAnsi="Courier New"/>
      <w:szCs w:val="20"/>
    </w:rPr>
  </w:style>
  <w:style w:type="paragraph" w:styleId="9">
    <w:name w:val="Date"/>
    <w:basedOn w:val="1"/>
    <w:next w:val="1"/>
    <w:link w:val="61"/>
    <w:semiHidden/>
    <w:unhideWhenUsed/>
    <w:qFormat/>
    <w:uiPriority w:val="99"/>
    <w:pPr>
      <w:ind w:left="100" w:leftChars="2500"/>
    </w:pPr>
  </w:style>
  <w:style w:type="paragraph" w:styleId="10">
    <w:name w:val="Balloon Text"/>
    <w:basedOn w:val="1"/>
    <w:link w:val="53"/>
    <w:semiHidden/>
    <w:unhideWhenUsed/>
    <w:qFormat/>
    <w:uiPriority w:val="99"/>
    <w:rPr>
      <w:sz w:val="18"/>
      <w:szCs w:val="18"/>
    </w:rPr>
  </w:style>
  <w:style w:type="paragraph" w:styleId="11">
    <w:name w:val="footer"/>
    <w:basedOn w:val="1"/>
    <w:link w:val="38"/>
    <w:qFormat/>
    <w:uiPriority w:val="0"/>
    <w:pPr>
      <w:tabs>
        <w:tab w:val="center" w:pos="4153"/>
        <w:tab w:val="right" w:pos="8306"/>
      </w:tabs>
      <w:adjustRightInd w:val="0"/>
      <w:spacing w:line="240" w:lineRule="atLeast"/>
      <w:jc w:val="left"/>
    </w:pPr>
    <w:rPr>
      <w:kern w:val="0"/>
      <w:sz w:val="18"/>
      <w:szCs w:val="20"/>
    </w:rPr>
  </w:style>
  <w:style w:type="paragraph" w:styleId="12">
    <w:name w:val="header"/>
    <w:basedOn w:val="1"/>
    <w:link w:val="5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4">
    <w:name w:val="Body Text First Indent"/>
    <w:basedOn w:val="6"/>
    <w:link w:val="37"/>
    <w:qFormat/>
    <w:uiPriority w:val="0"/>
    <w:pPr>
      <w:ind w:firstLine="420" w:firstLineChars="100"/>
    </w:pPr>
    <w:rPr>
      <w:rFonts w:eastAsia="仿宋_GB2312"/>
      <w:szCs w:val="20"/>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7">
    <w:name w:val="Light List Accent 3"/>
    <w:basedOn w:val="15"/>
    <w:qFormat/>
    <w:uiPriority w:val="61"/>
    <w:rPr>
      <w:rFonts w:asciiTheme="minorHAnsi" w:hAnsiTheme="minorHAnsi" w:eastAsiaTheme="minorEastAsia" w:cstheme="minorBidi"/>
      <w:sz w:val="22"/>
      <w:szCs w:val="22"/>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character" w:styleId="19">
    <w:name w:val="page number"/>
    <w:basedOn w:val="18"/>
    <w:qFormat/>
    <w:uiPriority w:val="0"/>
  </w:style>
  <w:style w:type="character" w:styleId="20">
    <w:name w:val="Hyperlink"/>
    <w:basedOn w:val="18"/>
    <w:unhideWhenUsed/>
    <w:qFormat/>
    <w:uiPriority w:val="99"/>
    <w:rPr>
      <w:color w:val="0000FF" w:themeColor="hyperlink"/>
      <w:u w:val="single"/>
    </w:rPr>
  </w:style>
  <w:style w:type="paragraph" w:customStyle="1" w:styleId="21">
    <w:name w:val="一级条标题"/>
    <w:basedOn w:val="22"/>
    <w:next w:val="23"/>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22">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23">
    <w:name w:val="段"/>
    <w:basedOn w:val="24"/>
    <w:next w:val="1"/>
    <w:qFormat/>
    <w:uiPriority w:val="0"/>
    <w:pPr>
      <w:widowControl/>
      <w:autoSpaceDE w:val="0"/>
      <w:autoSpaceDN w:val="0"/>
      <w:ind w:firstLine="200" w:firstLineChars="200"/>
    </w:pPr>
    <w:rPr>
      <w:rFonts w:hint="eastAsia"/>
    </w:rPr>
  </w:style>
  <w:style w:type="paragraph" w:customStyle="1" w:styleId="24">
    <w:name w:val="正文1"/>
    <w:basedOn w:val="25"/>
    <w:next w:val="33"/>
    <w:uiPriority w:val="0"/>
    <w:pPr>
      <w:adjustRightInd w:val="0"/>
      <w:spacing w:line="360" w:lineRule="atLeast"/>
      <w:jc w:val="left"/>
      <w:textAlignment w:val="baseline"/>
    </w:pPr>
    <w:rPr>
      <w:rFonts w:ascii="宋体"/>
      <w:sz w:val="24"/>
      <w:szCs w:val="20"/>
    </w:rPr>
  </w:style>
  <w:style w:type="paragraph" w:customStyle="1" w:styleId="25">
    <w:name w:val="正文111"/>
    <w:next w:val="26"/>
    <w:qFormat/>
    <w:uiPriority w:val="0"/>
    <w:pPr>
      <w:widowControl w:val="0"/>
      <w:jc w:val="both"/>
    </w:pPr>
    <w:rPr>
      <w:rFonts w:ascii="Calibri" w:hAnsi="Calibri" w:eastAsia="宋体" w:cs="Times New Roman"/>
      <w:sz w:val="21"/>
      <w:szCs w:val="24"/>
      <w:lang w:val="en-US" w:eastAsia="zh-CN" w:bidi="ar-SA"/>
    </w:rPr>
  </w:style>
  <w:style w:type="paragraph" w:customStyle="1" w:styleId="26">
    <w:name w:val="正文文本缩进1"/>
    <w:basedOn w:val="27"/>
    <w:next w:val="32"/>
    <w:qFormat/>
    <w:uiPriority w:val="0"/>
    <w:pPr>
      <w:spacing w:after="120"/>
      <w:ind w:left="420"/>
    </w:pPr>
  </w:style>
  <w:style w:type="paragraph" w:customStyle="1" w:styleId="27">
    <w:name w:val="正文11"/>
    <w:next w:val="28"/>
    <w:qFormat/>
    <w:uiPriority w:val="0"/>
    <w:pPr>
      <w:widowControl w:val="0"/>
      <w:jc w:val="both"/>
    </w:pPr>
    <w:rPr>
      <w:rFonts w:ascii="Calibri" w:hAnsi="Calibri" w:eastAsia="宋体" w:cs="Times New Roman"/>
      <w:sz w:val="21"/>
      <w:szCs w:val="24"/>
      <w:lang w:val="en-US" w:eastAsia="zh-CN" w:bidi="ar-SA"/>
    </w:rPr>
  </w:style>
  <w:style w:type="paragraph" w:customStyle="1" w:styleId="28">
    <w:name w:val="文本块1"/>
    <w:basedOn w:val="24"/>
    <w:next w:val="29"/>
    <w:qFormat/>
    <w:uiPriority w:val="0"/>
    <w:pPr>
      <w:ind w:left="420" w:right="33"/>
    </w:pPr>
  </w:style>
  <w:style w:type="paragraph" w:customStyle="1" w:styleId="29">
    <w:name w:val="标题 41"/>
    <w:basedOn w:val="30"/>
    <w:next w:val="27"/>
    <w:qFormat/>
    <w:uiPriority w:val="0"/>
    <w:pPr>
      <w:keepNext/>
      <w:keepLines/>
      <w:spacing w:before="280" w:after="290" w:line="376" w:lineRule="auto"/>
      <w:outlineLvl w:val="3"/>
    </w:pPr>
    <w:rPr>
      <w:rFonts w:ascii="Cambria" w:hAnsi="Cambria"/>
      <w:b/>
      <w:bCs/>
      <w:sz w:val="28"/>
      <w:szCs w:val="28"/>
    </w:rPr>
  </w:style>
  <w:style w:type="paragraph" w:customStyle="1" w:styleId="30">
    <w:name w:val="正文12"/>
    <w:next w:val="31"/>
    <w:qFormat/>
    <w:uiPriority w:val="0"/>
    <w:pPr>
      <w:widowControl w:val="0"/>
      <w:jc w:val="both"/>
    </w:pPr>
    <w:rPr>
      <w:rFonts w:ascii="Calibri" w:hAnsi="Calibri" w:eastAsia="Calibri" w:cs="Times New Roman"/>
      <w:sz w:val="21"/>
      <w:szCs w:val="24"/>
      <w:lang w:val="en-US" w:eastAsia="zh-CN" w:bidi="ar-SA"/>
    </w:rPr>
  </w:style>
  <w:style w:type="paragraph" w:customStyle="1" w:styleId="31">
    <w:name w:val="正文文本111"/>
    <w:basedOn w:val="30"/>
    <w:next w:val="30"/>
    <w:qFormat/>
    <w:uiPriority w:val="0"/>
  </w:style>
  <w:style w:type="paragraph" w:customStyle="1" w:styleId="32">
    <w:name w:val="寄信人地址1"/>
    <w:basedOn w:val="27"/>
    <w:qFormat/>
    <w:uiPriority w:val="0"/>
    <w:rPr>
      <w:rFonts w:ascii="Arial" w:hAnsi="Arial"/>
    </w:rPr>
  </w:style>
  <w:style w:type="paragraph" w:customStyle="1" w:styleId="33">
    <w:name w:val="脚注文本1"/>
    <w:basedOn w:val="24"/>
    <w:next w:val="34"/>
    <w:qFormat/>
    <w:uiPriority w:val="0"/>
    <w:rPr>
      <w:rFonts w:eastAsia="Times New Roman"/>
    </w:rPr>
  </w:style>
  <w:style w:type="paragraph" w:customStyle="1" w:styleId="34">
    <w:name w:val="索引 51"/>
    <w:basedOn w:val="24"/>
    <w:next w:val="24"/>
    <w:qFormat/>
    <w:uiPriority w:val="0"/>
    <w:pPr>
      <w:ind w:left="798"/>
    </w:pPr>
    <w:rPr>
      <w:rFonts w:ascii="Calibri"/>
    </w:rPr>
  </w:style>
  <w:style w:type="paragraph" w:customStyle="1" w:styleId="35">
    <w:name w:val="正文文本1"/>
    <w:basedOn w:val="24"/>
    <w:next w:val="21"/>
    <w:qFormat/>
    <w:uiPriority w:val="0"/>
    <w:pPr>
      <w:spacing w:after="120"/>
    </w:pPr>
    <w:rPr>
      <w:lang w:eastAsia="en-US"/>
    </w:rPr>
  </w:style>
  <w:style w:type="character" w:customStyle="1" w:styleId="36">
    <w:name w:val="正文文本 字符"/>
    <w:basedOn w:val="18"/>
    <w:link w:val="6"/>
    <w:semiHidden/>
    <w:qFormat/>
    <w:uiPriority w:val="99"/>
    <w:rPr>
      <w:rFonts w:ascii="Times New Roman" w:hAnsi="Times New Roman" w:eastAsia="宋体" w:cs="Times New Roman"/>
      <w:szCs w:val="24"/>
    </w:rPr>
  </w:style>
  <w:style w:type="character" w:customStyle="1" w:styleId="37">
    <w:name w:val="正文文本首行缩进 字符"/>
    <w:basedOn w:val="36"/>
    <w:link w:val="14"/>
    <w:qFormat/>
    <w:uiPriority w:val="0"/>
    <w:rPr>
      <w:rFonts w:ascii="Times New Roman" w:hAnsi="Times New Roman" w:eastAsia="仿宋_GB2312" w:cs="Times New Roman"/>
      <w:szCs w:val="20"/>
    </w:rPr>
  </w:style>
  <w:style w:type="character" w:customStyle="1" w:styleId="38">
    <w:name w:val="页脚 字符"/>
    <w:basedOn w:val="18"/>
    <w:link w:val="11"/>
    <w:qFormat/>
    <w:uiPriority w:val="0"/>
    <w:rPr>
      <w:rFonts w:ascii="Times New Roman" w:hAnsi="Times New Roman" w:eastAsia="宋体" w:cs="Times New Roman"/>
      <w:kern w:val="0"/>
      <w:sz w:val="18"/>
      <w:szCs w:val="20"/>
    </w:rPr>
  </w:style>
  <w:style w:type="paragraph" w:customStyle="1" w:styleId="39">
    <w:name w:val="样式 标题 3h3H3sect1.2.3 + 五号 段前: 6 磅 段后: 6 磅 行距: 单倍行距"/>
    <w:basedOn w:val="4"/>
    <w:qFormat/>
    <w:uiPriority w:val="0"/>
    <w:pPr>
      <w:numPr>
        <w:ilvl w:val="2"/>
        <w:numId w:val="1"/>
      </w:numPr>
      <w:adjustRightInd w:val="0"/>
      <w:spacing w:before="120" w:after="120" w:line="240" w:lineRule="auto"/>
      <w:jc w:val="left"/>
    </w:pPr>
    <w:rPr>
      <w:kern w:val="0"/>
      <w:sz w:val="21"/>
      <w:szCs w:val="20"/>
    </w:rPr>
  </w:style>
  <w:style w:type="paragraph" w:customStyle="1" w:styleId="40">
    <w:name w:val="样式 标题 2 + 宋体 五号 行距: 单倍行距"/>
    <w:basedOn w:val="3"/>
    <w:qFormat/>
    <w:uiPriority w:val="0"/>
    <w:pPr>
      <w:adjustRightInd w:val="0"/>
      <w:spacing w:line="240" w:lineRule="auto"/>
      <w:jc w:val="left"/>
    </w:pPr>
    <w:rPr>
      <w:rFonts w:ascii="宋体" w:hAnsi="宋体" w:eastAsia="宋体" w:cs="Times New Roman"/>
      <w:kern w:val="0"/>
      <w:sz w:val="21"/>
      <w:szCs w:val="20"/>
    </w:rPr>
  </w:style>
  <w:style w:type="paragraph" w:customStyle="1" w:styleId="41">
    <w:name w:val="样式1"/>
    <w:basedOn w:val="1"/>
    <w:qFormat/>
    <w:uiPriority w:val="0"/>
    <w:pPr>
      <w:numPr>
        <w:ilvl w:val="0"/>
        <w:numId w:val="2"/>
      </w:numPr>
      <w:adjustRightInd w:val="0"/>
    </w:pPr>
    <w:rPr>
      <w:rFonts w:ascii="宋体" w:hAnsi="宋体"/>
      <w:kern w:val="0"/>
      <w:szCs w:val="21"/>
    </w:rPr>
  </w:style>
  <w:style w:type="paragraph" w:customStyle="1" w:styleId="42">
    <w:name w:val="样式 标题 4 + 段前: 5 磅 段后: 5 磅 行距: 单倍行距"/>
    <w:basedOn w:val="5"/>
    <w:qFormat/>
    <w:uiPriority w:val="0"/>
    <w:pPr>
      <w:tabs>
        <w:tab w:val="left" w:pos="1680"/>
        <w:tab w:val="left" w:pos="2880"/>
      </w:tabs>
      <w:adjustRightInd w:val="0"/>
      <w:spacing w:before="100" w:after="100" w:line="240" w:lineRule="auto"/>
      <w:ind w:left="1680" w:hanging="420"/>
      <w:jc w:val="left"/>
    </w:pPr>
    <w:rPr>
      <w:rFonts w:ascii="Arial" w:hAnsi="Arial" w:eastAsia="黑体" w:cs="宋体"/>
      <w:kern w:val="0"/>
      <w:szCs w:val="20"/>
    </w:rPr>
  </w:style>
  <w:style w:type="paragraph" w:customStyle="1" w:styleId="43">
    <w:name w:val="样式 样式 样式 样式 标题 2 + 宋体 五号 非加粗 黑色 + 段前: 6 磅 段后: 0 磅 行距: 单倍行距 + 段前:..."/>
    <w:basedOn w:val="44"/>
    <w:autoRedefine/>
    <w:qFormat/>
    <w:uiPriority w:val="0"/>
    <w:pPr>
      <w:keepNext/>
      <w:keepLines/>
      <w:adjustRightInd w:val="0"/>
      <w:spacing w:before="240"/>
      <w:jc w:val="left"/>
      <w:outlineLvl w:val="1"/>
    </w:pPr>
    <w:rPr>
      <w:rFonts w:cs="华文楷体" w:asciiTheme="minorEastAsia" w:hAnsiTheme="minorEastAsia" w:eastAsiaTheme="minorEastAsia"/>
      <w:color w:val="000000" w:themeColor="text1"/>
      <w:kern w:val="0"/>
      <w:sz w:val="24"/>
      <w:szCs w:val="20"/>
    </w:rPr>
  </w:style>
  <w:style w:type="paragraph" w:customStyle="1" w:styleId="44">
    <w:name w:val="样式 样式 样式 标题 2 + 宋体 五号 非加粗 黑色 + 段前: 6 磅 段后: 0 磅 行距: 单倍行距 + 段前: 12..."/>
    <w:basedOn w:val="45"/>
    <w:uiPriority w:val="0"/>
    <w:pPr>
      <w:spacing w:before="240"/>
    </w:pPr>
  </w:style>
  <w:style w:type="paragraph" w:customStyle="1" w:styleId="45">
    <w:name w:val="样式 样式 标题 2 + 宋体 五号 非加粗 黑色 + 段前: 6 磅 段后: 0 磅 行距: 单倍行距"/>
    <w:basedOn w:val="46"/>
    <w:uiPriority w:val="0"/>
    <w:pPr>
      <w:spacing w:before="120" w:after="0" w:line="240" w:lineRule="auto"/>
    </w:pPr>
    <w:rPr>
      <w:szCs w:val="20"/>
    </w:rPr>
  </w:style>
  <w:style w:type="paragraph" w:customStyle="1" w:styleId="46">
    <w:name w:val="样式 标题 2 + 宋体 五号 非加粗 黑色"/>
    <w:basedOn w:val="3"/>
    <w:qFormat/>
    <w:uiPriority w:val="0"/>
    <w:pPr>
      <w:adjustRightInd w:val="0"/>
      <w:spacing w:line="416" w:lineRule="atLeast"/>
      <w:jc w:val="left"/>
    </w:pPr>
    <w:rPr>
      <w:rFonts w:ascii="宋体" w:hAnsi="宋体" w:eastAsia="宋体" w:cs="Times New Roman"/>
      <w:b w:val="0"/>
      <w:bCs w:val="0"/>
      <w:color w:val="000000"/>
      <w:kern w:val="0"/>
      <w:sz w:val="21"/>
    </w:rPr>
  </w:style>
  <w:style w:type="paragraph" w:customStyle="1" w:styleId="47">
    <w:name w:val="样式 标题 1 + 四号 居中 段前: 12 磅 段后: 12 磅 行距: 单倍行距"/>
    <w:basedOn w:val="2"/>
    <w:qFormat/>
    <w:uiPriority w:val="0"/>
    <w:pPr>
      <w:numPr>
        <w:ilvl w:val="0"/>
        <w:numId w:val="1"/>
      </w:numPr>
      <w:adjustRightInd w:val="0"/>
      <w:spacing w:before="240" w:after="240" w:line="240" w:lineRule="auto"/>
      <w:jc w:val="center"/>
    </w:pPr>
    <w:rPr>
      <w:sz w:val="28"/>
      <w:szCs w:val="20"/>
    </w:rPr>
  </w:style>
  <w:style w:type="paragraph" w:customStyle="1" w:styleId="48">
    <w:name w:val="样式 宋体 五号 两端对齐 行距: 单倍行距"/>
    <w:basedOn w:val="1"/>
    <w:qFormat/>
    <w:uiPriority w:val="0"/>
    <w:pPr>
      <w:adjustRightInd w:val="0"/>
    </w:pPr>
    <w:rPr>
      <w:rFonts w:ascii="宋体" w:hAnsi="宋体"/>
      <w:kern w:val="0"/>
      <w:szCs w:val="20"/>
    </w:rPr>
  </w:style>
  <w:style w:type="character" w:customStyle="1" w:styleId="49">
    <w:name w:val="标题 3 字符"/>
    <w:basedOn w:val="18"/>
    <w:link w:val="4"/>
    <w:semiHidden/>
    <w:qFormat/>
    <w:uiPriority w:val="9"/>
    <w:rPr>
      <w:rFonts w:ascii="Times New Roman" w:hAnsi="Times New Roman" w:eastAsia="宋体" w:cs="Times New Roman"/>
      <w:b/>
      <w:bCs/>
      <w:sz w:val="32"/>
      <w:szCs w:val="32"/>
    </w:rPr>
  </w:style>
  <w:style w:type="character" w:customStyle="1" w:styleId="50">
    <w:name w:val="标题 2 字符"/>
    <w:basedOn w:val="18"/>
    <w:link w:val="3"/>
    <w:semiHidden/>
    <w:qFormat/>
    <w:uiPriority w:val="9"/>
    <w:rPr>
      <w:rFonts w:asciiTheme="majorHAnsi" w:hAnsiTheme="majorHAnsi" w:eastAsiaTheme="majorEastAsia" w:cstheme="majorBidi"/>
      <w:b/>
      <w:bCs/>
      <w:sz w:val="32"/>
      <w:szCs w:val="32"/>
    </w:rPr>
  </w:style>
  <w:style w:type="character" w:customStyle="1" w:styleId="51">
    <w:name w:val="标题 4 字符"/>
    <w:basedOn w:val="18"/>
    <w:link w:val="5"/>
    <w:autoRedefine/>
    <w:semiHidden/>
    <w:qFormat/>
    <w:uiPriority w:val="9"/>
    <w:rPr>
      <w:rFonts w:asciiTheme="majorHAnsi" w:hAnsiTheme="majorHAnsi" w:eastAsiaTheme="majorEastAsia" w:cstheme="majorBidi"/>
      <w:b/>
      <w:bCs/>
      <w:sz w:val="28"/>
      <w:szCs w:val="28"/>
    </w:rPr>
  </w:style>
  <w:style w:type="character" w:customStyle="1" w:styleId="52">
    <w:name w:val="标题 1 字符"/>
    <w:basedOn w:val="18"/>
    <w:link w:val="2"/>
    <w:qFormat/>
    <w:uiPriority w:val="9"/>
    <w:rPr>
      <w:rFonts w:ascii="Times New Roman" w:hAnsi="Times New Roman" w:eastAsia="宋体" w:cs="Times New Roman"/>
      <w:b/>
      <w:bCs/>
      <w:kern w:val="44"/>
      <w:sz w:val="44"/>
      <w:szCs w:val="44"/>
    </w:rPr>
  </w:style>
  <w:style w:type="character" w:customStyle="1" w:styleId="53">
    <w:name w:val="批注框文本 字符"/>
    <w:basedOn w:val="18"/>
    <w:link w:val="10"/>
    <w:semiHidden/>
    <w:qFormat/>
    <w:uiPriority w:val="99"/>
    <w:rPr>
      <w:rFonts w:ascii="Times New Roman" w:hAnsi="Times New Roman" w:eastAsia="宋体" w:cs="Times New Roman"/>
      <w:sz w:val="18"/>
      <w:szCs w:val="18"/>
    </w:rPr>
  </w:style>
  <w:style w:type="character" w:customStyle="1" w:styleId="54">
    <w:name w:val="页眉 字符"/>
    <w:basedOn w:val="18"/>
    <w:link w:val="12"/>
    <w:qFormat/>
    <w:uiPriority w:val="99"/>
    <w:rPr>
      <w:rFonts w:ascii="Times New Roman" w:hAnsi="Times New Roman" w:eastAsia="宋体" w:cs="Times New Roman"/>
      <w:sz w:val="18"/>
      <w:szCs w:val="18"/>
    </w:rPr>
  </w:style>
  <w:style w:type="character" w:customStyle="1" w:styleId="55">
    <w:name w:val="font41"/>
    <w:basedOn w:val="18"/>
    <w:qFormat/>
    <w:uiPriority w:val="0"/>
    <w:rPr>
      <w:rFonts w:hint="eastAsia" w:ascii="宋体" w:hAnsi="宋体" w:eastAsia="宋体" w:cs="宋体"/>
      <w:color w:val="000000"/>
      <w:sz w:val="20"/>
      <w:szCs w:val="20"/>
      <w:u w:val="none"/>
    </w:rPr>
  </w:style>
  <w:style w:type="character" w:customStyle="1" w:styleId="56">
    <w:name w:val="font51"/>
    <w:basedOn w:val="18"/>
    <w:qFormat/>
    <w:uiPriority w:val="0"/>
    <w:rPr>
      <w:rFonts w:hint="eastAsia" w:ascii="宋体" w:hAnsi="宋体" w:eastAsia="宋体" w:cs="宋体"/>
      <w:color w:val="000000"/>
      <w:sz w:val="20"/>
      <w:szCs w:val="20"/>
      <w:u w:val="single"/>
    </w:rPr>
  </w:style>
  <w:style w:type="paragraph" w:styleId="57">
    <w:name w:val="List Paragraph"/>
    <w:basedOn w:val="1"/>
    <w:link w:val="60"/>
    <w:qFormat/>
    <w:uiPriority w:val="34"/>
    <w:pPr>
      <w:ind w:firstLine="420" w:firstLineChars="200"/>
    </w:pPr>
  </w:style>
  <w:style w:type="paragraph" w:customStyle="1" w:styleId="58">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59">
    <w:name w:val="列出段落1"/>
    <w:basedOn w:val="1"/>
    <w:qFormat/>
    <w:uiPriority w:val="0"/>
    <w:pPr>
      <w:ind w:firstLine="420" w:firstLineChars="200"/>
    </w:pPr>
    <w:rPr>
      <w:rFonts w:asciiTheme="minorHAnsi" w:hAnsiTheme="minorHAnsi" w:eastAsiaTheme="minorEastAsia" w:cstheme="minorBidi"/>
      <w:szCs w:val="22"/>
    </w:rPr>
  </w:style>
  <w:style w:type="character" w:customStyle="1" w:styleId="60">
    <w:name w:val="列表段落 字符"/>
    <w:link w:val="57"/>
    <w:qFormat/>
    <w:uiPriority w:val="0"/>
    <w:rPr>
      <w:kern w:val="2"/>
      <w:sz w:val="21"/>
      <w:szCs w:val="24"/>
    </w:rPr>
  </w:style>
  <w:style w:type="character" w:customStyle="1" w:styleId="61">
    <w:name w:val="日期 字符"/>
    <w:basedOn w:val="18"/>
    <w:link w:val="9"/>
    <w:semiHidden/>
    <w:qFormat/>
    <w:uiPriority w:val="99"/>
    <w:rPr>
      <w:kern w:val="2"/>
      <w:sz w:val="21"/>
      <w:szCs w:val="24"/>
    </w:rPr>
  </w:style>
  <w:style w:type="paragraph" w:customStyle="1" w:styleId="62">
    <w:name w:val="_Style 83"/>
    <w:basedOn w:val="6"/>
    <w:next w:val="14"/>
    <w:qFormat/>
    <w:uiPriority w:val="0"/>
    <w:pPr>
      <w:ind w:firstLine="420" w:firstLineChars="100"/>
    </w:pPr>
    <w:rPr>
      <w:rFonts w:eastAsia="仿宋_GB2312"/>
      <w:szCs w:val="20"/>
    </w:rPr>
  </w:style>
  <w:style w:type="character" w:customStyle="1" w:styleId="63">
    <w:name w:val="纯文本 字符"/>
    <w:basedOn w:val="18"/>
    <w:link w:val="8"/>
    <w:qFormat/>
    <w:uiPriority w:val="0"/>
    <w:rPr>
      <w:rFonts w:ascii="宋体" w:hAnsi="Courier New"/>
      <w:kern w:val="2"/>
      <w:sz w:val="21"/>
    </w:rPr>
  </w:style>
  <w:style w:type="paragraph" w:customStyle="1" w:styleId="64">
    <w:name w:val="null3"/>
    <w:hidden/>
    <w:qFormat/>
    <w:uiPriority w:val="0"/>
    <w:rPr>
      <w:rFonts w:hint="eastAsia" w:asciiTheme="minorHAnsi" w:hAnsiTheme="minorHAnsi" w:eastAsiaTheme="minorEastAsia" w:cstheme="minorBidi"/>
      <w:lang w:val="en-US" w:eastAsia="zh-CN" w:bidi="ar-SA"/>
    </w:rPr>
  </w:style>
  <w:style w:type="paragraph" w:customStyle="1" w:styleId="65">
    <w:name w:val="标准文本"/>
    <w:basedOn w:val="1"/>
    <w:link w:val="66"/>
    <w:autoRedefine/>
    <w:qFormat/>
    <w:uiPriority w:val="0"/>
    <w:pPr>
      <w:widowControl/>
      <w:spacing w:line="360" w:lineRule="auto"/>
      <w:ind w:firstLine="420"/>
      <w:jc w:val="left"/>
    </w:pPr>
    <w:rPr>
      <w:rFonts w:ascii="宋体" w:hAnsi="宋体" w:cs="宋体"/>
      <w:kern w:val="0"/>
      <w:sz w:val="24"/>
    </w:rPr>
  </w:style>
  <w:style w:type="character" w:customStyle="1" w:styleId="66">
    <w:name w:val="标准文本 Char"/>
    <w:link w:val="65"/>
    <w:autoRedefine/>
    <w:qFormat/>
    <w:locked/>
    <w:uiPriority w:val="0"/>
    <w:rPr>
      <w:rFonts w:ascii="宋体" w:hAnsi="宋体" w:cs="宋体"/>
      <w:sz w:val="24"/>
      <w:szCs w:val="24"/>
    </w:rPr>
  </w:style>
  <w:style w:type="paragraph" w:customStyle="1" w:styleId="67">
    <w:name w:val="UserStyle_0"/>
    <w:qFormat/>
    <w:uiPriority w:val="0"/>
    <w:rPr>
      <w:rFonts w:ascii="Calibri"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19049</Words>
  <Characters>20378</Characters>
  <Lines>169</Lines>
  <Paragraphs>47</Paragraphs>
  <TotalTime>1</TotalTime>
  <ScaleCrop>false</ScaleCrop>
  <LinksUpToDate>false</LinksUpToDate>
  <CharactersWithSpaces>20662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2024-11-28T02:11:00Z</dcterms:created>
  <dc:creator>Lenovo</dc:creator>
  <cp:lastModifiedBy>DELL</cp:lastModifiedBy>
  <cp:lastPrinted>2020-06-18T09:09:00Z</cp:lastPrinted>
  <dcterms:modified xsi:type="dcterms:W3CDTF">2024-12-28T06:13:26Z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3A68B67DD8F34EB392DCCDB11557FE68_13</vt:lpwstr>
  </property>
  <property fmtid="{D5CDD505-2E9C-101B-9397-08002B2CF9AE}" pid="4" name="GrammarlyDocumentId">
    <vt:lpwstr>a24ffa2c830c8ecf48d23b9a72498da2ffc85d14e69fad48e7fc983617c1a825</vt:lpwstr>
  </property>
  <property fmtid="{D5CDD505-2E9C-101B-9397-08002B2CF9AE}" pid="5" name="KSOTemplateDocerSaveRecord">
    <vt:lpwstr>eyJoZGlkIjoiYWJmNTAxYTA0NTllZTU0OWY5NWY0MWNlMzBjNGU2OTYifQ==</vt:lpwstr>
  </property>
</Properties>
</file>