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14:textFill>
            <w14:solidFill>
              <w14:schemeClr w14:val="tx1"/>
            </w14:solidFill>
          </w14:textFill>
        </w:rPr>
      </w:pPr>
    </w:p>
    <w:p>
      <w:pPr>
        <w:jc w:val="center"/>
        <w:rPr>
          <w:rFonts w:cs="华文楷体" w:asciiTheme="minorEastAsia" w:hAnsiTheme="minorEastAsia" w:eastAsiaTheme="minorEastAsia"/>
          <w:b/>
          <w:color w:val="000000" w:themeColor="text1"/>
          <w:sz w:val="52"/>
          <w:szCs w:val="52"/>
          <w14:textFill>
            <w14:solidFill>
              <w14:schemeClr w14:val="tx1"/>
            </w14:solidFill>
          </w14:textFill>
        </w:rPr>
      </w:pPr>
      <w:r>
        <w:rPr>
          <w:rFonts w:hint="eastAsia" w:cs="华文楷体" w:asciiTheme="minorEastAsia" w:hAnsiTheme="minorEastAsia" w:eastAsiaTheme="minorEastAsia"/>
          <w:b/>
          <w:color w:val="000000" w:themeColor="text1"/>
          <w:sz w:val="52"/>
          <w:szCs w:val="52"/>
          <w14:textFill>
            <w14:solidFill>
              <w14:schemeClr w14:val="tx1"/>
            </w14:solidFill>
          </w14:textFill>
        </w:rPr>
        <w:t>江苏师范大学</w:t>
      </w:r>
    </w:p>
    <w:p>
      <w:pPr>
        <w:adjustRightInd w:val="0"/>
        <w:snapToGrid w:val="0"/>
        <w:ind w:firstLine="1566" w:firstLineChars="300"/>
        <w:rPr>
          <w:rFonts w:cs="华文楷体" w:asciiTheme="minorEastAsia" w:hAnsiTheme="minorEastAsia" w:eastAsiaTheme="minorEastAsia"/>
          <w:b/>
          <w:color w:val="000000" w:themeColor="text1"/>
          <w:sz w:val="32"/>
          <w:szCs w:val="32"/>
          <w14:textFill>
            <w14:solidFill>
              <w14:schemeClr w14:val="tx1"/>
            </w14:solidFill>
          </w14:textFill>
        </w:rPr>
      </w:pPr>
      <w:r>
        <w:rPr>
          <w:rFonts w:hint="eastAsia" w:cs="华文楷体" w:asciiTheme="minorEastAsia" w:hAnsiTheme="minorEastAsia" w:eastAsiaTheme="minorEastAsia"/>
          <w:b/>
          <w:color w:val="000000" w:themeColor="text1"/>
          <w:sz w:val="52"/>
          <w:szCs w:val="52"/>
          <w14:textFill>
            <w14:solidFill>
              <w14:schemeClr w14:val="tx1"/>
            </w14:solidFill>
          </w14:textFill>
        </w:rPr>
        <w:t>线上课程资源录播系统</w:t>
      </w:r>
    </w:p>
    <w:p>
      <w:pPr>
        <w:adjustRightInd w:val="0"/>
        <w:snapToGrid w:val="0"/>
        <w:jc w:val="center"/>
        <w:rPr>
          <w:rFonts w:cs="华文楷体" w:asciiTheme="minorEastAsia" w:hAnsiTheme="minorEastAsia" w:eastAsiaTheme="minorEastAsia"/>
          <w:b/>
          <w:bCs/>
          <w:color w:val="000000" w:themeColor="text1"/>
          <w:sz w:val="32"/>
          <w:szCs w:val="32"/>
          <w:u w:val="single"/>
          <w14:textFill>
            <w14:solidFill>
              <w14:schemeClr w14:val="tx1"/>
            </w14:solidFill>
          </w14:textFill>
        </w:rPr>
      </w:pPr>
      <w:r>
        <w:rPr>
          <w:rFonts w:hint="eastAsia" w:cs="华文楷体" w:asciiTheme="minorEastAsia" w:hAnsiTheme="minorEastAsia" w:eastAsiaTheme="minorEastAsia"/>
          <w:b/>
          <w:color w:val="000000" w:themeColor="text1"/>
          <w:sz w:val="32"/>
          <w:szCs w:val="32"/>
          <w14:textFill>
            <w14:solidFill>
              <w14:schemeClr w14:val="tx1"/>
            </w14:solidFill>
          </w14:textFill>
        </w:rPr>
        <w:t>(项目编号：2023H08015)</w:t>
      </w:r>
    </w:p>
    <w:p>
      <w:pPr>
        <w:adjustRightInd w:val="0"/>
        <w:snapToGrid w:val="0"/>
        <w:rPr>
          <w:rFonts w:cs="华文楷体" w:asciiTheme="minorEastAsia" w:hAnsiTheme="minorEastAsia" w:eastAsiaTheme="minorEastAsia"/>
          <w:b/>
          <w:color w:val="000000" w:themeColor="text1"/>
          <w:sz w:val="72"/>
          <w:szCs w:val="72"/>
          <w14:textFill>
            <w14:solidFill>
              <w14:schemeClr w14:val="tx1"/>
            </w14:solidFill>
          </w14:textFill>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磋</w:t>
      </w:r>
    </w:p>
    <w:p>
      <w:pPr>
        <w:adjustRightInd w:val="0"/>
        <w:snapToGrid w:val="0"/>
        <w:spacing w:line="276" w:lineRule="auto"/>
        <w:jc w:val="center"/>
        <w:rPr>
          <w:rFonts w:cs="华文楷体" w:asciiTheme="minorEastAsia" w:hAnsiTheme="minorEastAsia" w:eastAsiaTheme="minorEastAsia"/>
          <w:b/>
          <w:color w:val="000000" w:themeColor="text1"/>
          <w:sz w:val="120"/>
          <w:szCs w:val="120"/>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商</w:t>
      </w:r>
    </w:p>
    <w:p>
      <w:pPr>
        <w:adjustRightInd w:val="0"/>
        <w:snapToGrid w:val="0"/>
        <w:spacing w:line="276" w:lineRule="auto"/>
        <w:jc w:val="center"/>
        <w:rPr>
          <w:rFonts w:cs="华文楷体" w:asciiTheme="minorEastAsia" w:hAnsiTheme="minorEastAsia" w:eastAsiaTheme="minorEastAsia"/>
          <w:b/>
          <w:color w:val="000000" w:themeColor="text1"/>
          <w:sz w:val="120"/>
          <w:szCs w:val="120"/>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件</w:t>
      </w:r>
    </w:p>
    <w:p>
      <w:pPr>
        <w:rPr>
          <w:rFonts w:cs="华文楷体" w:asciiTheme="minorEastAsia" w:hAnsiTheme="minorEastAsia" w:eastAsiaTheme="minorEastAsia"/>
          <w:color w:val="000000" w:themeColor="text1"/>
          <w:sz w:val="32"/>
          <w14:textFill>
            <w14:solidFill>
              <w14:schemeClr w14:val="tx1"/>
            </w14:solidFill>
          </w14:textFill>
        </w:rPr>
      </w:pPr>
    </w:p>
    <w:p>
      <w:pPr>
        <w:ind w:firstLine="3040" w:firstLineChars="950"/>
        <w:rPr>
          <w:rFonts w:cs="华文楷体" w:asciiTheme="minorEastAsia" w:hAnsiTheme="minorEastAsia" w:eastAsiaTheme="minorEastAsia"/>
          <w:color w:val="000000" w:themeColor="text1"/>
          <w:sz w:val="32"/>
          <w14:textFill>
            <w14:solidFill>
              <w14:schemeClr w14:val="tx1"/>
            </w14:solidFill>
          </w14:textFill>
        </w:rPr>
      </w:pPr>
      <w:bookmarkStart w:id="0" w:name="_Hlk103584543"/>
      <w:r>
        <w:rPr>
          <w:rFonts w:cs="华文楷体" w:asciiTheme="minorEastAsia" w:hAnsiTheme="minorEastAsia" w:eastAsiaTheme="minorEastAsia"/>
          <w:color w:val="000000" w:themeColor="text1"/>
          <w:sz w:val="32"/>
          <w14:textFill>
            <w14:solidFill>
              <w14:schemeClr w14:val="tx1"/>
            </w14:solidFill>
          </w14:textFill>
        </w:rPr>
        <w:t>江苏师范大学招标</w:t>
      </w:r>
      <w:r>
        <w:rPr>
          <w:rFonts w:hint="eastAsia" w:cs="华文楷体" w:asciiTheme="minorEastAsia" w:hAnsiTheme="minorEastAsia" w:eastAsiaTheme="minorEastAsia"/>
          <w:color w:val="000000" w:themeColor="text1"/>
          <w:sz w:val="32"/>
          <w14:textFill>
            <w14:solidFill>
              <w14:schemeClr w14:val="tx1"/>
            </w14:solidFill>
          </w14:textFill>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pPr>
      <w:r>
        <w:rPr>
          <w:rFonts w:hint="eastAsia"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202</w:t>
      </w:r>
      <w:r>
        <w:rPr>
          <w:rFonts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3</w:t>
      </w:r>
      <w:r>
        <w:rPr>
          <w:rFonts w:hint="eastAsia"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年5月31日</w:t>
      </w:r>
    </w:p>
    <w:bookmarkEnd w:id="0"/>
    <w:p>
      <w:pPr>
        <w:ind w:firstLine="3520" w:firstLineChars="1100"/>
        <w:rPr>
          <w:rFonts w:cs="华文楷体" w:asciiTheme="minorEastAsia" w:hAnsiTheme="minorEastAsia" w:eastAsiaTheme="minorEastAsia"/>
          <w:color w:val="000000" w:themeColor="text1"/>
          <w:sz w:val="32"/>
          <w:shd w:val="clear" w:color="auto" w:fill="FFC000"/>
          <w14:textFill>
            <w14:solidFill>
              <w14:schemeClr w14:val="tx1"/>
            </w14:solidFill>
          </w14:textFill>
        </w:rPr>
      </w:pPr>
    </w:p>
    <w:p>
      <w:pPr>
        <w:pStyle w:val="31"/>
        <w:numPr>
          <w:ilvl w:val="0"/>
          <w:numId w:val="0"/>
        </w:numPr>
        <w:spacing w:before="0" w:after="0" w:line="400" w:lineRule="exact"/>
        <w:outlineLvl w:val="9"/>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14:textFill>
            <w14:solidFill>
              <w14:schemeClr w14:val="tx1"/>
            </w14:solidFill>
          </w14:textFill>
        </w:rPr>
        <w:t>第一章    总 则</w:t>
      </w:r>
    </w:p>
    <w:p>
      <w:pPr>
        <w:pStyle w:val="30"/>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14:textFill>
            <w14:solidFill>
              <w14:schemeClr w14:val="tx1"/>
            </w14:solidFill>
          </w14:textFill>
        </w:rPr>
      </w:pPr>
      <w:r>
        <w:rPr>
          <w:rFonts w:hint="eastAsia" w:cs="华文楷体" w:asciiTheme="minorEastAsia" w:hAnsiTheme="minorEastAsia" w:eastAsiaTheme="minorEastAsia"/>
          <w:bCs w:val="0"/>
          <w:color w:val="000000" w:themeColor="text1"/>
          <w:sz w:val="24"/>
          <w:szCs w:val="24"/>
          <w14:textFill>
            <w14:solidFill>
              <w14:schemeClr w14:val="tx1"/>
            </w14:solidFill>
          </w14:textFill>
        </w:rPr>
        <w:t>一、磋商文件</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1.供应商应详细阅读磋商文件的全部内容。如果供应商没有按照磋商文件要求提交全部资料或者没有对磋商文件在各方面的要求都做出实质性响应，可能导致其投标被拒绝。</w:t>
      </w:r>
    </w:p>
    <w:p>
      <w:pPr>
        <w:pStyle w:val="28"/>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highlight w:val="none"/>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2.磋商文件的澄清</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highlight w:val="none"/>
          <w14:textFill>
            <w14:solidFill>
              <w14:schemeClr w14:val="tx1"/>
            </w14:solidFill>
          </w14:textFill>
        </w:rPr>
        <w:t>供应商如对磋商文件有疑问要求澄清的，可在202</w:t>
      </w:r>
      <w:r>
        <w:rPr>
          <w:rFonts w:cs="华文楷体" w:asciiTheme="minorEastAsia" w:hAnsiTheme="minorEastAsia" w:eastAsiaTheme="minorEastAsia"/>
          <w:color w:val="000000" w:themeColor="text1"/>
          <w:sz w:val="24"/>
          <w:szCs w:val="24"/>
          <w:highlight w:val="none"/>
          <w14:textFill>
            <w14:solidFill>
              <w14:schemeClr w14:val="tx1"/>
            </w14:solidFill>
          </w14:textFill>
        </w:rPr>
        <w:t>3</w:t>
      </w:r>
      <w:r>
        <w:rPr>
          <w:rFonts w:hint="eastAsia" w:cs="华文楷体"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华文楷体"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华文楷体" w:asciiTheme="minorEastAsia" w:hAnsiTheme="minorEastAsia" w:eastAsiaTheme="minorEastAsia"/>
          <w:color w:val="000000" w:themeColor="text1"/>
          <w:sz w:val="24"/>
          <w:szCs w:val="24"/>
          <w:highlight w:val="none"/>
          <w:lang w:val="en-US" w:eastAsia="zh-CN"/>
          <w14:textFill>
            <w14:solidFill>
              <w14:schemeClr w14:val="tx1"/>
            </w14:solidFill>
          </w14:textFill>
        </w:rPr>
        <w:t>13</w:t>
      </w:r>
      <w:r>
        <w:rPr>
          <w:rFonts w:hint="eastAsia" w:cs="华文楷体" w:asciiTheme="minorEastAsia" w:hAnsiTheme="minorEastAsia" w:eastAsiaTheme="minorEastAsia"/>
          <w:color w:val="000000" w:themeColor="text1"/>
          <w:sz w:val="24"/>
          <w:szCs w:val="24"/>
          <w:highlight w:val="none"/>
          <w14:textFill>
            <w14:solidFill>
              <w14:schemeClr w14:val="tx1"/>
            </w14:solidFill>
          </w14:textFill>
        </w:rPr>
        <w:t>日1</w:t>
      </w:r>
      <w:r>
        <w:rPr>
          <w:rFonts w:hint="eastAsia" w:cs="华文楷体" w:asciiTheme="minorEastAsia" w:hAnsiTheme="minorEastAsia" w:eastAsiaTheme="minorEastAsia"/>
          <w:color w:val="000000" w:themeColor="text1"/>
          <w:sz w:val="24"/>
          <w:szCs w:val="24"/>
          <w14:textFill>
            <w14:solidFill>
              <w14:schemeClr w14:val="tx1"/>
            </w14:solidFill>
          </w14:textFill>
        </w:rPr>
        <w:t>6:00前以书面形式或传真方式递交到我校招标办（澄清函需加盖供应商公章），同时将电子版发送至招标办邮箱zbb@jsnu.edu.cn（电子版包括：澄清函图片格式的扫描件及澄清函内容对应的word文档）。澄清要求，逾期将不再受理。</w:t>
      </w:r>
    </w:p>
    <w:p>
      <w:pPr>
        <w:pStyle w:val="28"/>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3.磋商文件的修改</w:t>
      </w:r>
      <w:bookmarkStart w:id="20" w:name="_GoBack"/>
      <w:bookmarkEnd w:id="20"/>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3.1</w:t>
      </w:r>
      <w:bookmarkStart w:id="1" w:name="_Hlk103583398"/>
      <w:r>
        <w:rPr>
          <w:rFonts w:hint="eastAsia" w:cs="华文楷体" w:asciiTheme="minorEastAsia" w:hAnsiTheme="minorEastAsia" w:eastAsiaTheme="minorEastAsia"/>
          <w:color w:val="000000" w:themeColor="text1"/>
          <w:sz w:val="24"/>
          <w:szCs w:val="24"/>
          <w14:textFill>
            <w14:solidFill>
              <w14:schemeClr w14:val="tx1"/>
            </w14:solidFill>
          </w14:textFill>
        </w:rPr>
        <w:t>在投标截止期5日以前任何时候，采购人无论出于何种原因，均可对磋商文件用补充文件的方式进行修改。</w:t>
      </w:r>
      <w:bookmarkEnd w:id="1"/>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3.2</w:t>
      </w:r>
      <w:bookmarkStart w:id="2" w:name="_Hlk103583413"/>
      <w:r>
        <w:rPr>
          <w:rFonts w:hint="eastAsia" w:cs="华文楷体" w:asciiTheme="minorEastAsia" w:hAnsiTheme="minorEastAsia" w:eastAsiaTheme="minorEastAsia"/>
          <w:color w:val="000000" w:themeColor="text1"/>
          <w:sz w:val="24"/>
          <w:szCs w:val="24"/>
          <w14:textFill>
            <w14:solidFill>
              <w14:schemeClr w14:val="tx1"/>
            </w14:solidFill>
          </w14:textFill>
        </w:rPr>
        <w:t>对磋商文件的修改，将通过</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“江苏师范大学招投标网”</w:t>
      </w:r>
      <w:bookmarkStart w:id="3" w:name="_Hlk103584882"/>
      <w:r>
        <w:rPr>
          <w:rFonts w:hint="eastAsia" w:cs="华文楷体" w:asciiTheme="minorEastAsia" w:hAnsiTheme="minorEastAsia" w:eastAsiaTheme="minorEastAsia"/>
          <w:color w:val="000000" w:themeColor="text1"/>
          <w:kern w:val="2"/>
          <w:sz w:val="24"/>
          <w:szCs w:val="24"/>
          <w14:textFill>
            <w14:solidFill>
              <w14:schemeClr w14:val="tx1"/>
            </w14:solidFill>
          </w14:textFill>
        </w:rPr>
        <w:t>（http://ztbb.jsnu.edu.cn/）发布</w:t>
      </w:r>
      <w:bookmarkEnd w:id="3"/>
      <w:r>
        <w:rPr>
          <w:rFonts w:hint="eastAsia" w:cs="华文楷体" w:asciiTheme="minorEastAsia" w:hAnsiTheme="minorEastAsia" w:eastAsiaTheme="minorEastAsia"/>
          <w:color w:val="000000" w:themeColor="text1"/>
          <w:sz w:val="24"/>
          <w:szCs w:val="24"/>
          <w14:textFill>
            <w14:solidFill>
              <w14:schemeClr w14:val="tx1"/>
            </w14:solidFill>
          </w14:textFill>
        </w:rPr>
        <w:t>公告。补充文件将作为磋商文件的组成部分，对所有领取了磋商文件的供应商均具有约束力。</w:t>
      </w:r>
    </w:p>
    <w:bookmarkEnd w:id="2"/>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3.3</w:t>
      </w:r>
      <w:bookmarkStart w:id="4" w:name="_Hlk103583434"/>
      <w:r>
        <w:rPr>
          <w:rFonts w:hint="eastAsia" w:cs="华文楷体" w:asciiTheme="minorEastAsia" w:hAnsiTheme="minorEastAsia" w:eastAsiaTheme="minorEastAsia"/>
          <w:color w:val="000000" w:themeColor="text1"/>
          <w:sz w:val="24"/>
          <w:szCs w:val="24"/>
          <w14:textFill>
            <w14:solidFill>
              <w14:schemeClr w14:val="tx1"/>
            </w14:solidFill>
          </w14:textFill>
        </w:rPr>
        <w:t>为使供应商有足够的时间按磋商文件的修改要求考虑修正响应文件，采购人可酌情推迟投标日期，并将具体变更情况通过</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 xml:space="preserve"> “江苏师范大学招投标网”</w:t>
      </w:r>
      <w:r>
        <w:rPr>
          <w:rFonts w:hint="eastAsia" w:cs="华文楷体" w:asciiTheme="minorEastAsia" w:hAnsiTheme="minorEastAsia" w:eastAsiaTheme="minorEastAsia"/>
          <w:color w:val="000000" w:themeColor="text1"/>
          <w:sz w:val="24"/>
          <w:szCs w:val="24"/>
          <w14:textFill>
            <w14:solidFill>
              <w14:schemeClr w14:val="tx1"/>
            </w14:solidFill>
          </w14:textFill>
        </w:rPr>
        <w:t>公告。</w:t>
      </w:r>
      <w:bookmarkEnd w:id="4"/>
    </w:p>
    <w:p>
      <w:pPr>
        <w:pStyle w:val="28"/>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14:textFill>
            <w14:solidFill>
              <w14:schemeClr w14:val="tx1"/>
            </w14:solidFill>
          </w14:textFill>
        </w:rPr>
        <w:t>4.</w:t>
      </w:r>
      <w:r>
        <w:rPr>
          <w:rFonts w:hint="eastAsia" w:cs="华文楷体" w:asciiTheme="minorEastAsia" w:hAnsiTheme="minorEastAsia" w:eastAsiaTheme="minorEastAsia"/>
          <w:b/>
          <w:sz w:val="24"/>
          <w:szCs w:val="24"/>
        </w:rPr>
        <w:t xml:space="preserve"> 通知</w:t>
      </w:r>
    </w:p>
    <w:p>
      <w:pPr>
        <w:pStyle w:val="28"/>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bookmarkStart w:id="5" w:name="_Hlk103583495"/>
      <w:r>
        <w:rPr>
          <w:rFonts w:hint="eastAsia" w:cs="华文楷体" w:asciiTheme="minorEastAsia" w:hAnsiTheme="minorEastAsia" w:eastAsiaTheme="minorEastAsia"/>
          <w:sz w:val="24"/>
          <w:szCs w:val="24"/>
        </w:rPr>
        <w:t>对与本项目有关的通知，采购人将通过 “江苏师范大学招投标网”发布公告，请供应商</w:t>
      </w:r>
      <w:r>
        <w:rPr>
          <w:rFonts w:hint="eastAsia" w:cs="华文楷体" w:asciiTheme="minorEastAsia" w:hAnsiTheme="minorEastAsia" w:eastAsiaTheme="minorEastAsia"/>
          <w:sz w:val="24"/>
          <w:szCs w:val="24"/>
          <w:shd w:val="clear" w:color="auto" w:fill="FFFFFF" w:themeFill="background1"/>
        </w:rPr>
        <w:t>自行关注。</w:t>
      </w:r>
    </w:p>
    <w:bookmarkEnd w:id="5"/>
    <w:p>
      <w:pPr>
        <w:pStyle w:val="28"/>
        <w:numPr>
          <w:ilvl w:val="0"/>
          <w:numId w:val="0"/>
        </w:numPr>
        <w:spacing w:line="340" w:lineRule="exact"/>
        <w:ind w:firstLine="482"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r>
        <w:rPr>
          <w:rFonts w:cs="华文楷体" w:asciiTheme="minorEastAsia" w:hAnsiTheme="minorEastAsia" w:eastAsiaTheme="minorEastAsia"/>
          <w:sz w:val="24"/>
          <w:shd w:val="clear" w:color="auto" w:fill="FFFFFF" w:themeFill="background1"/>
        </w:rPr>
        <w:t>：</w:t>
      </w:r>
      <w:r>
        <w:rPr>
          <w:rFonts w:hint="eastAsia" w:ascii="Times New Roman" w:hAnsi="Times New Roman"/>
          <w:bCs/>
          <w:sz w:val="24"/>
          <w:szCs w:val="24"/>
        </w:rPr>
        <w:t>无预付款。</w:t>
      </w:r>
      <w:r>
        <w:rPr>
          <w:rFonts w:ascii="Times New Roman" w:hAnsi="Times New Roman"/>
          <w:bCs/>
          <w:sz w:val="24"/>
          <w:szCs w:val="24"/>
        </w:rPr>
        <w:t>验收合格后支付</w:t>
      </w:r>
      <w:r>
        <w:rPr>
          <w:rFonts w:hint="eastAsia" w:ascii="Times New Roman" w:hAnsi="Times New Roman"/>
          <w:bCs/>
          <w:sz w:val="24"/>
          <w:szCs w:val="24"/>
        </w:rPr>
        <w:t>合同总额的</w:t>
      </w:r>
      <w:r>
        <w:rPr>
          <w:rFonts w:ascii="Times New Roman" w:hAnsi="Times New Roman"/>
          <w:bCs/>
          <w:sz w:val="24"/>
          <w:szCs w:val="24"/>
        </w:rPr>
        <w:t>90%，余款作为质保金，一年后无任何质量和服务问题，一次性付清尾款（不计息）</w:t>
      </w:r>
      <w:r>
        <w:rPr>
          <w:rFonts w:hint="eastAsia" w:cs="华文楷体" w:asciiTheme="minorEastAsia" w:hAnsiTheme="minorEastAsia" w:eastAsiaTheme="minorEastAsia"/>
          <w:sz w:val="24"/>
          <w:szCs w:val="24"/>
          <w:shd w:val="clear" w:color="auto" w:fill="FFFFFF" w:themeFill="background1"/>
        </w:rPr>
        <w:t>。</w:t>
      </w:r>
    </w:p>
    <w:p>
      <w:pPr>
        <w:pStyle w:val="28"/>
        <w:numPr>
          <w:ilvl w:val="0"/>
          <w:numId w:val="0"/>
        </w:numPr>
        <w:spacing w:line="340" w:lineRule="exact"/>
        <w:ind w:left="701" w:leftChars="228" w:hanging="222" w:hangingChars="92"/>
        <w:rPr>
          <w:b/>
          <w:bCs/>
          <w:color w:val="000000" w:themeColor="text1"/>
          <w:sz w:val="24"/>
          <w14:textFill>
            <w14:solidFill>
              <w14:schemeClr w14:val="tx1"/>
            </w14:solidFill>
          </w14:textFill>
        </w:rPr>
      </w:pPr>
      <w:r>
        <w:rPr>
          <w:rFonts w:hint="eastAsia" w:cs="华文楷体" w:asciiTheme="minorEastAsia" w:hAnsiTheme="minorEastAsia" w:eastAsiaTheme="minorEastAsia"/>
          <w:b/>
          <w:sz w:val="24"/>
          <w:szCs w:val="24"/>
          <w:shd w:val="clear" w:color="auto" w:fill="FFFFFF" w:themeFill="background1"/>
        </w:rPr>
        <w:t>6.供货期：</w:t>
      </w:r>
      <w:r>
        <w:rPr>
          <w:rFonts w:hint="eastAsia"/>
          <w:b/>
          <w:bCs/>
          <w:color w:val="000000" w:themeColor="text1"/>
          <w:sz w:val="24"/>
          <w14:textFill>
            <w14:solidFill>
              <w14:schemeClr w14:val="tx1"/>
            </w14:solidFill>
          </w14:textFill>
        </w:rPr>
        <w:t>自合同签订之日起，不超过50日历天。具体自报。</w:t>
      </w:r>
    </w:p>
    <w:p>
      <w:pPr>
        <w:pStyle w:val="28"/>
        <w:numPr>
          <w:ilvl w:val="0"/>
          <w:numId w:val="0"/>
        </w:numPr>
        <w:spacing w:line="340" w:lineRule="exact"/>
        <w:ind w:left="701" w:leftChars="228" w:hanging="222" w:hangingChars="92"/>
        <w:rPr>
          <w:rFonts w:asciiTheme="minorEastAsia" w:hAnsiTheme="minorEastAsia" w:eastAsiaTheme="minorEastAsia"/>
          <w:bCs/>
          <w:sz w:val="24"/>
          <w:szCs w:val="24"/>
          <w:shd w:val="clear" w:color="auto" w:fill="FFFFFF" w:themeFill="background1"/>
        </w:rPr>
      </w:pPr>
      <w:r>
        <w:rPr>
          <w:rFonts w:cs="华文楷体" w:asciiTheme="minorEastAsia" w:hAnsiTheme="minorEastAsia" w:eastAsiaTheme="minorEastAsia"/>
          <w:b/>
          <w:sz w:val="24"/>
          <w:szCs w:val="24"/>
          <w:shd w:val="clear" w:color="auto" w:fill="FFFFFF" w:themeFill="background1"/>
        </w:rPr>
        <w:t>7</w:t>
      </w:r>
      <w:r>
        <w:rPr>
          <w:rFonts w:hint="eastAsia" w:cs="华文楷体" w:asciiTheme="minorEastAsia" w:hAnsiTheme="minorEastAsia" w:eastAsiaTheme="minorEastAsia"/>
          <w:b/>
          <w:sz w:val="24"/>
          <w:szCs w:val="24"/>
          <w:shd w:val="clear" w:color="auto" w:fill="FFFFFF" w:themeFill="background1"/>
        </w:rPr>
        <w:t>.采购预算金额（最高限价）：</w:t>
      </w:r>
      <w:r>
        <w:rPr>
          <w:rFonts w:hint="eastAsia"/>
          <w:bCs/>
          <w:sz w:val="24"/>
          <w:shd w:val="clear" w:color="auto" w:fill="FFFFFF" w:themeFill="background1"/>
        </w:rPr>
        <w:t>人民币49.8万元</w:t>
      </w:r>
      <w:r>
        <w:rPr>
          <w:rFonts w:hint="eastAsia" w:asciiTheme="minorEastAsia" w:hAnsiTheme="minorEastAsia" w:eastAsiaTheme="minorEastAsia"/>
          <w:bCs/>
          <w:sz w:val="24"/>
          <w:szCs w:val="24"/>
          <w:shd w:val="clear" w:color="auto" w:fill="FFFFFF" w:themeFill="background1"/>
        </w:rPr>
        <w:t>。</w:t>
      </w:r>
    </w:p>
    <w:p>
      <w:pPr>
        <w:pStyle w:val="28"/>
        <w:numPr>
          <w:ilvl w:val="0"/>
          <w:numId w:val="0"/>
        </w:numPr>
        <w:spacing w:line="340" w:lineRule="exact"/>
        <w:ind w:left="701" w:leftChars="228" w:hanging="222" w:hangingChars="92"/>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8.质保期：</w:t>
      </w:r>
      <w:r>
        <w:rPr>
          <w:rFonts w:hint="eastAsia" w:cs="华文楷体" w:asciiTheme="minorEastAsia" w:hAnsiTheme="minorEastAsia" w:eastAsiaTheme="minorEastAsia"/>
          <w:color w:val="000000" w:themeColor="text1"/>
          <w:sz w:val="24"/>
          <w:szCs w:val="24"/>
          <w14:textFill>
            <w14:solidFill>
              <w14:schemeClr w14:val="tx1"/>
            </w14:solidFill>
          </w14:textFill>
        </w:rPr>
        <w:t>不少于3年，具体供应商自报。</w:t>
      </w:r>
    </w:p>
    <w:p>
      <w:pPr>
        <w:pStyle w:val="28"/>
        <w:numPr>
          <w:ilvl w:val="0"/>
          <w:numId w:val="0"/>
        </w:numPr>
        <w:spacing w:line="340" w:lineRule="exact"/>
        <w:ind w:left="701" w:leftChars="228" w:hanging="222" w:hangingChars="92"/>
        <w:rPr>
          <w:rFonts w:asciiTheme="minorEastAsia" w:hAnsiTheme="minorEastAsia" w:eastAsiaTheme="minorEastAsia"/>
          <w:b/>
          <w:sz w:val="24"/>
          <w:szCs w:val="24"/>
          <w:shd w:val="clear" w:color="auto" w:fill="FFFFFF" w:themeFill="background1"/>
        </w:rPr>
      </w:pPr>
      <w:r>
        <w:rPr>
          <w:rFonts w:cs="华文楷体" w:asciiTheme="minorEastAsia" w:hAnsiTheme="minorEastAsia" w:eastAsiaTheme="minorEastAsia"/>
          <w:b/>
          <w:sz w:val="24"/>
          <w:szCs w:val="24"/>
          <w:shd w:val="clear" w:color="auto" w:fill="FFFFFF" w:themeFill="background1"/>
        </w:rPr>
        <w:t>9.</w:t>
      </w:r>
      <w:r>
        <w:rPr>
          <w:rFonts w:hint="eastAsia" w:asciiTheme="minorEastAsia" w:hAnsiTheme="minorEastAsia" w:eastAsiaTheme="minorEastAsia"/>
          <w:b/>
          <w:sz w:val="24"/>
          <w:szCs w:val="24"/>
          <w:shd w:val="clear" w:color="auto" w:fill="FFFFFF" w:themeFill="background1"/>
        </w:rPr>
        <w:t>供应商资格条件</w:t>
      </w:r>
    </w:p>
    <w:p>
      <w:pPr>
        <w:pStyle w:val="14"/>
        <w:shd w:val="clear" w:color="auto" w:fill="FFFFFF"/>
        <w:spacing w:before="45" w:beforeAutospacing="0" w:after="45" w:afterAutospacing="0" w:line="315" w:lineRule="atLeast"/>
        <w:ind w:firstLine="480" w:firstLineChars="200"/>
        <w:rPr>
          <w:rFonts w:ascii="微软雅黑" w:hAnsi="微软雅黑" w:eastAsia="微软雅黑"/>
          <w:color w:val="000000"/>
          <w:sz w:val="18"/>
          <w:szCs w:val="18"/>
        </w:rPr>
      </w:pPr>
      <w:r>
        <w:rPr>
          <w:rFonts w:hint="eastAsia"/>
          <w:color w:val="000000"/>
        </w:rPr>
        <w:t>9</w:t>
      </w:r>
      <w:r>
        <w:rPr>
          <w:color w:val="000000"/>
        </w:rPr>
        <w:t>.1</w:t>
      </w:r>
      <w:r>
        <w:rPr>
          <w:rFonts w:hint="eastAsia"/>
          <w:color w:val="000000"/>
        </w:rPr>
        <w:t>具有独立承担民事责任的能力；</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.2</w:t>
      </w:r>
      <w:r>
        <w:rPr>
          <w:rFonts w:hint="eastAsia" w:ascii="宋体" w:hAnsi="宋体" w:cs="宋体"/>
          <w:color w:val="000000"/>
          <w:kern w:val="0"/>
          <w:sz w:val="24"/>
          <w:highlight w:val="none"/>
        </w:rPr>
        <w:t>具备建筑装修装饰工程专业承包资质二级及以上资质。</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.3</w:t>
      </w:r>
      <w:r>
        <w:rPr>
          <w:rFonts w:hint="eastAsia"/>
          <w:color w:val="000000"/>
        </w:rPr>
        <w:t>具有良好的商业信誉和健全的财务会计制度；</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.4</w:t>
      </w:r>
      <w:r>
        <w:rPr>
          <w:rFonts w:hint="eastAsia"/>
          <w:color w:val="000000"/>
        </w:rPr>
        <w:t>具有履行合同所必需的设备和专业技术能力；</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.5</w:t>
      </w:r>
      <w:r>
        <w:rPr>
          <w:rFonts w:hint="eastAsia"/>
          <w:color w:val="000000"/>
        </w:rPr>
        <w:t>依法缴纳税收和社会保障资金；</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.6</w:t>
      </w:r>
      <w:r>
        <w:rPr>
          <w:rFonts w:hint="eastAsia"/>
          <w:color w:val="000000"/>
        </w:rPr>
        <w:t>符合法律、行政法规规定的其他条件；</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.7</w:t>
      </w:r>
      <w:r>
        <w:rPr>
          <w:rFonts w:hint="eastAsia"/>
          <w:color w:val="000000"/>
        </w:rPr>
        <w:t>进口产品递交响应文件时必须携带有效授权证明；</w:t>
      </w:r>
    </w:p>
    <w:p>
      <w:pPr>
        <w:adjustRightInd w:val="0"/>
        <w:snapToGrid w:val="0"/>
        <w:ind w:firstLine="480" w:firstLineChars="200"/>
        <w:rPr>
          <w:color w:val="000000"/>
        </w:rPr>
      </w:pPr>
      <w:r>
        <w:rPr>
          <w:rFonts w:hint="eastAsia" w:ascii="宋体" w:hAnsi="宋体" w:eastAsia="宋体" w:cs="宋体"/>
          <w:color w:val="000000"/>
          <w:kern w:val="0"/>
          <w:sz w:val="24"/>
          <w:szCs w:val="24"/>
          <w:lang w:val="en-US" w:eastAsia="zh-CN" w:bidi="ar-SA"/>
        </w:rPr>
        <w:t>9.8不接受联合体投标，单位负责人为同一人或者存在控股、管理关系的不同单位不得参加同一项目的投标活动。</w:t>
      </w:r>
    </w:p>
    <w:p>
      <w:pPr>
        <w:pStyle w:val="30"/>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二、响应文件</w:t>
      </w:r>
    </w:p>
    <w:p>
      <w:pPr>
        <w:pStyle w:val="28"/>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响应文件的语言和计量单位</w:t>
      </w:r>
    </w:p>
    <w:p>
      <w:pPr>
        <w:pStyle w:val="28"/>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w:t>
      </w:r>
      <w:bookmarkStart w:id="6" w:name="_Hlk103583607"/>
      <w:r>
        <w:rPr>
          <w:rFonts w:hint="eastAsia" w:cs="华文楷体" w:asciiTheme="minorEastAsia" w:hAnsiTheme="minorEastAsia" w:eastAsiaTheme="minorEastAsia"/>
          <w:sz w:val="24"/>
          <w:szCs w:val="24"/>
        </w:rPr>
        <w:t>供应商所提供的响应文件包含技术文件、有关资料、说明等，均应使用中文简化字。</w:t>
      </w:r>
    </w:p>
    <w:bookmarkEnd w:id="6"/>
    <w:p>
      <w:pPr>
        <w:pStyle w:val="28"/>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w:t>
      </w:r>
      <w:bookmarkStart w:id="7" w:name="_Hlk103583658"/>
      <w:r>
        <w:rPr>
          <w:rFonts w:hint="eastAsia" w:cs="华文楷体" w:asciiTheme="minorEastAsia" w:hAnsiTheme="minorEastAsia" w:eastAsiaTheme="minorEastAsia"/>
          <w:sz w:val="24"/>
          <w:szCs w:val="24"/>
        </w:rPr>
        <w:t>响应文件所使用的计量单位，除工程规范另有规定外，均采用中华人民共和国法定计量单位。</w:t>
      </w:r>
      <w:bookmarkEnd w:id="7"/>
    </w:p>
    <w:p>
      <w:pPr>
        <w:pStyle w:val="28"/>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2.响应文件的组成及相关要求</w:t>
      </w:r>
    </w:p>
    <w:p>
      <w:pPr>
        <w:pStyle w:val="28"/>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2.1响应文件分为商务和技术两个部分，这两部分按照商务与技术的顺序装订成一册。为了方便评审，响应文件中的各项表格必须按照磋商文件格式要求制作。</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sz w:val="24"/>
          <w:szCs w:val="24"/>
        </w:rPr>
        <w:t>2.2商务部分指供应商提</w:t>
      </w:r>
      <w:r>
        <w:rPr>
          <w:rFonts w:hint="eastAsia" w:cs="华文楷体" w:asciiTheme="minorEastAsia" w:hAnsiTheme="minorEastAsia" w:eastAsiaTheme="minorEastAsia"/>
          <w:color w:val="000000" w:themeColor="text1"/>
          <w:sz w:val="24"/>
          <w:szCs w:val="24"/>
          <w14:textFill>
            <w14:solidFill>
              <w14:schemeClr w14:val="tx1"/>
            </w14:solidFill>
          </w14:textFill>
        </w:rPr>
        <w:t>交的证明其有资格参加投标和成交后有能力履行合同的文件。</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sz w:val="24"/>
          <w:szCs w:val="24"/>
        </w:rPr>
        <w:t>2.3商务文件、技术文件与供应商认为需要编写的技术文件的组成均按本磋商文件要</w:t>
      </w:r>
      <w:r>
        <w:rPr>
          <w:rFonts w:hint="eastAsia" w:cs="华文楷体" w:asciiTheme="minorEastAsia" w:hAnsiTheme="minorEastAsia" w:eastAsiaTheme="minorEastAsia"/>
          <w:color w:val="000000" w:themeColor="text1"/>
          <w:sz w:val="24"/>
          <w:szCs w:val="24"/>
          <w14:textFill>
            <w14:solidFill>
              <w14:schemeClr w14:val="tx1"/>
            </w14:solidFill>
          </w14:textFill>
        </w:rPr>
        <w:t>求的顺序与内容填写。</w:t>
      </w:r>
    </w:p>
    <w:p>
      <w:pPr>
        <w:pStyle w:val="28"/>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3.投标内容填写说明</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3.1供应商应认真阅读文件的所有内容，按照磋商文件的要求编制完整的响应文件。响应文件应按照磋商文件规定的统一格式填写，严格按照规定的顺序装订成册并编制目录，由于编排混乱导致响应文件被误读或查找不到，是供应商的责任。</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3.2磋商文件对响应文件格式有要求的应按格式逐项填写内容，不准有空项；无相应内容可填的项应填写“无”、“没有相应指标”等明确的回答文字。响应文件中格式文件留有空项的，将被视为不完整响应的响应文件，其投标有可能被拒绝。</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3.3供应商必须保证响应文件所提供的全部资料真实可靠，并接受采购人对其中任何资料进一步审查的要求。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3.4报价一览表要求按格式统一填写，不得自行增减内容。</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3.5响应文件须对磋商文件中的内容做出实质性和完整的响应，否则其投标将被拒绝。如果响应文件填报的内容资料不详，或没有提供磋商文件中所要求的全部资料及数据，将导致投标被拒绝或废标。</w:t>
      </w:r>
    </w:p>
    <w:p>
      <w:pPr>
        <w:pStyle w:val="28"/>
        <w:numPr>
          <w:ilvl w:val="0"/>
          <w:numId w:val="0"/>
        </w:numPr>
        <w:spacing w:line="340" w:lineRule="exact"/>
        <w:ind w:left="708" w:leftChars="228" w:hanging="229" w:hangingChars="95"/>
        <w:rPr>
          <w:rFonts w:cs="华文楷体"/>
          <w:b/>
          <w:color w:val="000000"/>
          <w:sz w:val="24"/>
        </w:rPr>
      </w:pPr>
      <w:r>
        <w:rPr>
          <w:rFonts w:hint="eastAsia" w:cs="华文楷体"/>
          <w:b/>
          <w:color w:val="000000"/>
          <w:sz w:val="24"/>
        </w:rPr>
        <w:t>3.6本项目有二次报价环节，二次报价不得高于一次报价；二次报价为最终报价。</w:t>
      </w:r>
    </w:p>
    <w:p>
      <w:pPr>
        <w:pStyle w:val="28"/>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4.响应文件的编制</w:t>
      </w:r>
    </w:p>
    <w:p>
      <w:pPr>
        <w:pStyle w:val="28"/>
        <w:numPr>
          <w:ilvl w:val="0"/>
          <w:numId w:val="0"/>
        </w:numPr>
        <w:ind w:firstLine="482" w:firstLineChars="200"/>
        <w:rPr>
          <w:b/>
          <w:kern w:val="2"/>
          <w:sz w:val="24"/>
          <w:szCs w:val="24"/>
        </w:rPr>
      </w:pPr>
      <w:r>
        <w:rPr>
          <w:rFonts w:hint="eastAsia"/>
          <w:b/>
          <w:kern w:val="2"/>
          <w:sz w:val="24"/>
          <w:szCs w:val="24"/>
        </w:rPr>
        <w:t>供应商应按照以下顺序制作响应文件（标书）；响应文件有格式要求的（具体格式见“第三章 响应文件格式”）在制作响应文件时须按照磋商文件提供的格式填写，无格式要求的供应商自行编制；混乱的编排以致响应文件被误读或招标人查找不到有效文件，后果由供应商承担。</w:t>
      </w:r>
    </w:p>
    <w:p>
      <w:pPr>
        <w:pStyle w:val="28"/>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8"/>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宋体" w:hAnsi="宋体"/>
          <w:sz w:val="24"/>
        </w:rPr>
      </w:pPr>
      <w:r>
        <w:rPr>
          <w:rFonts w:hint="eastAsia" w:ascii="宋体" w:hAnsi="宋体"/>
          <w:sz w:val="24"/>
        </w:rPr>
        <w:t>4.3投标函；</w:t>
      </w:r>
    </w:p>
    <w:p>
      <w:pPr>
        <w:spacing w:line="380" w:lineRule="exact"/>
        <w:ind w:firstLine="468" w:firstLineChars="195"/>
        <w:rPr>
          <w:rFonts w:ascii="宋体" w:hAnsi="宋体"/>
          <w:sz w:val="24"/>
        </w:rPr>
      </w:pPr>
      <w:r>
        <w:rPr>
          <w:rFonts w:hint="eastAsia" w:ascii="宋体" w:hAnsi="宋体"/>
          <w:sz w:val="24"/>
        </w:rPr>
        <w:t>4.4投标报价一览表；</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.5投标报价明细表；</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6</w:t>
      </w:r>
      <w:r>
        <w:rPr>
          <w:rFonts w:hint="eastAsia" w:ascii="宋体" w:hAnsi="宋体"/>
          <w:sz w:val="24"/>
        </w:rPr>
        <w:t>法定代表人的授权委托书（原件封于响应文件正本中）；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.7</w:t>
      </w:r>
      <w:r>
        <w:rPr>
          <w:rFonts w:hint="eastAsia" w:ascii="宋体" w:hAnsi="宋体"/>
          <w:b w:val="0"/>
          <w:bCs w:val="0"/>
          <w:sz w:val="24"/>
          <w:highlight w:val="none"/>
        </w:rPr>
        <w:t>质保与服务承诺书</w:t>
      </w:r>
      <w:r>
        <w:rPr>
          <w:rFonts w:hint="eastAsia" w:ascii="宋体" w:hAnsi="宋体"/>
          <w:sz w:val="24"/>
          <w:highlight w:val="none"/>
        </w:rPr>
        <w:t>（如是进口设备需提供厂家授权，原件封于响应文件</w:t>
      </w:r>
      <w:r>
        <w:rPr>
          <w:rFonts w:hint="eastAsia" w:ascii="宋体" w:hAnsi="宋体"/>
          <w:sz w:val="24"/>
        </w:rPr>
        <w:t>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.8</w:t>
      </w:r>
      <w:r>
        <w:rPr>
          <w:rFonts w:hint="eastAsia" w:ascii="宋体" w:hAnsi="宋体"/>
          <w:sz w:val="24"/>
        </w:rPr>
        <w:t>无重大违法记录的书面声明（原件封于响应文件正本中）；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.9</w:t>
      </w:r>
      <w:r>
        <w:rPr>
          <w:rFonts w:hint="eastAsia" w:ascii="宋体" w:hAnsi="宋体"/>
          <w:sz w:val="24"/>
        </w:rPr>
        <w:t>投标单位情况介绍（简要说明）；</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10</w:t>
      </w:r>
      <w:r>
        <w:rPr>
          <w:rFonts w:hint="eastAsia" w:ascii="宋体" w:hAnsi="宋体"/>
          <w:sz w:val="24"/>
        </w:rPr>
        <w:t>企业营业执照复印件；</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1</w:t>
      </w:r>
      <w:r>
        <w:rPr>
          <w:rFonts w:hint="eastAsia" w:ascii="宋体" w:hAnsi="宋体"/>
          <w:sz w:val="24"/>
        </w:rPr>
        <w:t>供应商财务状况良好，提供：</w:t>
      </w:r>
    </w:p>
    <w:p>
      <w:pPr>
        <w:spacing w:line="380" w:lineRule="exact"/>
        <w:ind w:firstLine="420"/>
        <w:rPr>
          <w:rFonts w:ascii="宋体" w:hAnsi="宋体"/>
          <w:sz w:val="24"/>
        </w:rPr>
      </w:pPr>
      <w:r>
        <w:rPr>
          <w:rFonts w:hint="eastAsia" w:ascii="宋体" w:hAnsi="宋体"/>
          <w:sz w:val="24"/>
        </w:rPr>
        <w:t>⑴供应商提交首次响应文件时间前6个月内任何1日的资产负债表复印件1份；</w:t>
      </w:r>
    </w:p>
    <w:p>
      <w:pPr>
        <w:spacing w:line="380" w:lineRule="exact"/>
        <w:ind w:firstLine="420"/>
        <w:rPr>
          <w:rFonts w:ascii="宋体" w:hAnsi="宋体"/>
          <w:sz w:val="24"/>
        </w:rPr>
      </w:pPr>
      <w:r>
        <w:rPr>
          <w:rFonts w:hint="eastAsia" w:ascii="宋体" w:hAnsi="宋体"/>
          <w:sz w:val="24"/>
        </w:rPr>
        <w:t>⑵供应商提交首次响应文件时间前6个月内任何1月（不含本公告发布当月）利润表月报表复印件1份。</w:t>
      </w:r>
    </w:p>
    <w:p>
      <w:pPr>
        <w:ind w:firstLine="480" w:firstLineChars="200"/>
        <w:rPr>
          <w:rFonts w:ascii="宋体" w:hAnsi="宋体"/>
          <w:sz w:val="24"/>
        </w:rPr>
      </w:pPr>
      <w:bookmarkStart w:id="8" w:name="_Hlk103585525"/>
      <w:r>
        <w:rPr>
          <w:rFonts w:hint="eastAsia" w:ascii="宋体" w:hAnsi="宋体"/>
          <w:color w:val="000000"/>
          <w:sz w:val="24"/>
        </w:rPr>
        <w:t>本条中</w:t>
      </w:r>
      <w:r>
        <w:rPr>
          <w:rFonts w:hint="eastAsia" w:ascii="宋体" w:hAnsi="宋体"/>
          <w:sz w:val="24"/>
        </w:rPr>
        <w:t>⑴</w:t>
      </w:r>
      <w:r>
        <w:rPr>
          <w:rFonts w:hint="eastAsia" w:ascii="宋体" w:hAnsi="宋体"/>
          <w:color w:val="000000"/>
          <w:sz w:val="24"/>
        </w:rPr>
        <w:t>、</w:t>
      </w:r>
      <w:r>
        <w:rPr>
          <w:rFonts w:hint="eastAsia" w:ascii="宋体" w:hAnsi="宋体"/>
          <w:sz w:val="24"/>
        </w:rPr>
        <w:t>⑵</w:t>
      </w:r>
      <w:r>
        <w:rPr>
          <w:rFonts w:hint="eastAsia" w:ascii="宋体" w:hAnsi="宋体"/>
          <w:color w:val="000000"/>
          <w:sz w:val="24"/>
        </w:rPr>
        <w:t>要求的材料无法提供时，可提供有审计资格的第三方出具的供应商上一年度财务审计报告复印件。</w:t>
      </w:r>
      <w:bookmarkEnd w:id="8"/>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2</w:t>
      </w:r>
      <w:r>
        <w:rPr>
          <w:rFonts w:hint="eastAsia" w:ascii="宋体" w:hAnsi="宋体"/>
          <w:sz w:val="24"/>
        </w:rPr>
        <w:t>投标单位为投标代表缴纳社保证明（提交首次响应文件时间前6个月内任何1月的依法缴纳社保的相关材料复印件）；</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3</w:t>
      </w:r>
      <w:r>
        <w:rPr>
          <w:rFonts w:hint="eastAsia" w:ascii="宋体" w:hAnsi="宋体"/>
          <w:sz w:val="24"/>
        </w:rPr>
        <w:t>商务和技术偏离表；</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4</w:t>
      </w:r>
      <w:r>
        <w:rPr>
          <w:rFonts w:hint="eastAsia" w:ascii="宋体" w:hAnsi="宋体"/>
          <w:sz w:val="24"/>
        </w:rPr>
        <w:t>设备（系统）技术性能详细说明；</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5</w:t>
      </w:r>
      <w:r>
        <w:rPr>
          <w:rFonts w:hint="eastAsia" w:ascii="宋体" w:hAnsi="宋体"/>
          <w:sz w:val="24"/>
        </w:rPr>
        <w:t>设备（系统）供货、安装调试方案；</w:t>
      </w:r>
    </w:p>
    <w:p>
      <w:pPr>
        <w:ind w:firstLine="480" w:firstLineChars="200"/>
        <w:rPr>
          <w:rFonts w:ascii="宋体" w:hAnsi="宋体"/>
          <w:b w:val="0"/>
          <w:bCs w:val="0"/>
          <w:sz w:val="24"/>
          <w:highlight w:val="none"/>
        </w:rPr>
      </w:pPr>
      <w:r>
        <w:rPr>
          <w:rFonts w:hint="eastAsia" w:ascii="宋体" w:hAnsi="宋体"/>
          <w:b w:val="0"/>
          <w:bCs w:val="0"/>
          <w:sz w:val="24"/>
          <w:highlight w:val="none"/>
        </w:rPr>
        <w:t>4</w:t>
      </w:r>
      <w:r>
        <w:rPr>
          <w:rFonts w:ascii="宋体" w:hAnsi="宋体"/>
          <w:b w:val="0"/>
          <w:bCs w:val="0"/>
          <w:sz w:val="24"/>
          <w:highlight w:val="none"/>
        </w:rPr>
        <w:t>.</w:t>
      </w:r>
      <w:r>
        <w:rPr>
          <w:rFonts w:hint="eastAsia" w:ascii="宋体" w:hAnsi="宋体"/>
          <w:b w:val="0"/>
          <w:bCs w:val="0"/>
          <w:sz w:val="24"/>
          <w:highlight w:val="none"/>
        </w:rPr>
        <w:t>1</w:t>
      </w:r>
      <w:r>
        <w:rPr>
          <w:rFonts w:ascii="宋体" w:hAnsi="宋体"/>
          <w:b w:val="0"/>
          <w:bCs w:val="0"/>
          <w:sz w:val="24"/>
          <w:highlight w:val="none"/>
        </w:rPr>
        <w:t>6</w:t>
      </w:r>
      <w:r>
        <w:rPr>
          <w:rFonts w:hint="eastAsia" w:ascii="宋体" w:hAnsi="宋体"/>
          <w:b w:val="0"/>
          <w:bCs w:val="0"/>
          <w:sz w:val="24"/>
          <w:highlight w:val="none"/>
        </w:rPr>
        <w:t>售后服务</w:t>
      </w:r>
      <w:r>
        <w:rPr>
          <w:rFonts w:hint="eastAsia" w:ascii="宋体" w:hAnsi="宋体"/>
          <w:b w:val="0"/>
          <w:bCs w:val="0"/>
          <w:sz w:val="24"/>
          <w:highlight w:val="none"/>
          <w:lang w:val="en-US" w:eastAsia="zh-CN"/>
        </w:rPr>
        <w:t>承诺书</w:t>
      </w:r>
      <w:r>
        <w:rPr>
          <w:rFonts w:hint="eastAsia" w:ascii="宋体" w:hAnsi="宋体"/>
          <w:b w:val="0"/>
          <w:bCs w:val="0"/>
          <w:sz w:val="24"/>
          <w:highlight w:val="none"/>
        </w:rPr>
        <w:t>；</w:t>
      </w:r>
    </w:p>
    <w:p>
      <w:pPr>
        <w:ind w:firstLine="480" w:firstLineChars="200"/>
        <w:rPr>
          <w:rFonts w:ascii="宋体" w:hAnsi="宋体"/>
          <w:b w:val="0"/>
          <w:bCs w:val="0"/>
          <w:sz w:val="24"/>
          <w:highlight w:val="none"/>
        </w:rPr>
      </w:pPr>
      <w:r>
        <w:rPr>
          <w:rFonts w:hint="eastAsia" w:ascii="宋体" w:hAnsi="宋体"/>
          <w:b w:val="0"/>
          <w:bCs w:val="0"/>
          <w:sz w:val="24"/>
          <w:highlight w:val="none"/>
        </w:rPr>
        <w:t>4.17提供培训服务承诺书；</w:t>
      </w:r>
    </w:p>
    <w:p>
      <w:pPr>
        <w:ind w:firstLine="480" w:firstLineChars="200"/>
        <w:rPr>
          <w:rFonts w:ascii="宋体" w:hAnsi="宋体"/>
          <w:b w:val="0"/>
          <w:bCs w:val="0"/>
          <w:sz w:val="24"/>
          <w:highlight w:val="none"/>
        </w:rPr>
      </w:pPr>
      <w:r>
        <w:rPr>
          <w:rFonts w:hint="eastAsia" w:ascii="宋体" w:hAnsi="宋体"/>
          <w:b w:val="0"/>
          <w:bCs w:val="0"/>
          <w:sz w:val="24"/>
          <w:highlight w:val="none"/>
          <w:shd w:val="clear" w:color="auto" w:fill="FFFFFF" w:themeFill="background1"/>
        </w:rPr>
        <w:t>4.18企业类似业绩（2020年1月1日以来类似业绩，</w:t>
      </w:r>
      <w:r>
        <w:rPr>
          <w:rFonts w:hint="eastAsia" w:ascii="宋体" w:hAnsi="宋体"/>
          <w:b w:val="0"/>
          <w:bCs w:val="0"/>
          <w:sz w:val="24"/>
          <w:highlight w:val="none"/>
          <w:shd w:val="clear" w:color="auto" w:fill="FFFFFF" w:themeFill="background1"/>
          <w:lang w:val="en-US" w:eastAsia="zh-CN"/>
        </w:rPr>
        <w:t>合同原件备查</w:t>
      </w:r>
      <w:r>
        <w:rPr>
          <w:rFonts w:hint="eastAsia" w:ascii="宋体" w:hAnsi="宋体"/>
          <w:b w:val="0"/>
          <w:bCs w:val="0"/>
          <w:sz w:val="24"/>
          <w:highlight w:val="none"/>
          <w:shd w:val="clear" w:color="auto" w:fill="FFFFFF" w:themeFill="background1"/>
        </w:rPr>
        <w:t>）；</w:t>
      </w:r>
    </w:p>
    <w:p>
      <w:pPr>
        <w:ind w:firstLine="480" w:firstLineChars="200"/>
        <w:rPr>
          <w:rFonts w:ascii="宋体" w:hAnsi="宋体"/>
          <w:b w:val="0"/>
          <w:bCs w:val="0"/>
          <w:sz w:val="24"/>
          <w:highlight w:val="none"/>
        </w:rPr>
      </w:pPr>
      <w:r>
        <w:rPr>
          <w:rFonts w:hint="eastAsia" w:ascii="宋体" w:hAnsi="宋体"/>
          <w:b w:val="0"/>
          <w:bCs w:val="0"/>
          <w:sz w:val="24"/>
          <w:highlight w:val="none"/>
        </w:rPr>
        <w:t>4</w:t>
      </w:r>
      <w:r>
        <w:rPr>
          <w:rFonts w:ascii="宋体" w:hAnsi="宋体"/>
          <w:b w:val="0"/>
          <w:bCs w:val="0"/>
          <w:sz w:val="24"/>
          <w:highlight w:val="none"/>
        </w:rPr>
        <w:t>.</w:t>
      </w:r>
      <w:r>
        <w:rPr>
          <w:rFonts w:hint="eastAsia" w:ascii="宋体" w:hAnsi="宋体"/>
          <w:b w:val="0"/>
          <w:bCs w:val="0"/>
          <w:sz w:val="24"/>
          <w:highlight w:val="none"/>
        </w:rPr>
        <w:t>19供应商资格条件中对企业资质有要求时须提供相关资格证书复印件；</w:t>
      </w:r>
    </w:p>
    <w:p>
      <w:pPr>
        <w:ind w:firstLine="480" w:firstLineChars="200"/>
        <w:rPr>
          <w:rFonts w:hint="eastAsia" w:ascii="宋体" w:hAnsi="宋体" w:eastAsia="宋体"/>
          <w:b w:val="0"/>
          <w:bCs w:val="0"/>
          <w:sz w:val="24"/>
          <w:highlight w:val="none"/>
          <w:lang w:eastAsia="zh-CN"/>
        </w:rPr>
      </w:pPr>
      <w:r>
        <w:rPr>
          <w:rFonts w:hint="eastAsia" w:ascii="宋体" w:hAnsi="宋体"/>
          <w:b w:val="0"/>
          <w:bCs w:val="0"/>
          <w:sz w:val="24"/>
          <w:highlight w:val="none"/>
        </w:rPr>
        <w:t>4</w:t>
      </w:r>
      <w:r>
        <w:rPr>
          <w:rFonts w:ascii="宋体" w:hAnsi="宋体"/>
          <w:b w:val="0"/>
          <w:bCs w:val="0"/>
          <w:sz w:val="24"/>
          <w:highlight w:val="none"/>
        </w:rPr>
        <w:t>.</w:t>
      </w:r>
      <w:r>
        <w:rPr>
          <w:rFonts w:hint="eastAsia" w:ascii="宋体" w:hAnsi="宋体"/>
          <w:b w:val="0"/>
          <w:bCs w:val="0"/>
          <w:sz w:val="24"/>
          <w:highlight w:val="none"/>
        </w:rPr>
        <w:t>20未被“信用中国”网站（www.creditchina.gov.cn）列入失信执行人、重大税收违法案件当事人名单、政府采购严重违法失信行为记录名单，否则投标无效，须提供信用查询截图</w:t>
      </w:r>
      <w:r>
        <w:rPr>
          <w:rFonts w:hint="eastAsia" w:ascii="宋体" w:hAnsi="宋体"/>
          <w:b w:val="0"/>
          <w:bCs w:val="0"/>
          <w:sz w:val="24"/>
          <w:highlight w:val="none"/>
          <w:lang w:eastAsia="zh-CN"/>
        </w:rPr>
        <w:t>；</w:t>
      </w:r>
    </w:p>
    <w:p>
      <w:pPr>
        <w:ind w:firstLine="480" w:firstLineChars="200"/>
        <w:rPr>
          <w:rFonts w:hint="eastAsia" w:ascii="宋体" w:hAnsi="宋体" w:eastAsia="宋体"/>
          <w:b w:val="0"/>
          <w:bCs w:val="0"/>
          <w:sz w:val="24"/>
          <w:highlight w:val="none"/>
          <w:lang w:eastAsia="zh-CN"/>
        </w:rPr>
      </w:pPr>
      <w:r>
        <w:rPr>
          <w:rFonts w:hint="eastAsia" w:ascii="宋体" w:hAnsi="宋体"/>
          <w:b w:val="0"/>
          <w:bCs w:val="0"/>
          <w:sz w:val="24"/>
          <w:highlight w:val="none"/>
        </w:rPr>
        <w:t>4.21安全承诺函（投标人承诺在施工过程中出现任何安全问题均由投标人承担，格式自拟，须加盖投标单位公章。）</w:t>
      </w:r>
      <w:r>
        <w:rPr>
          <w:rFonts w:hint="eastAsia" w:ascii="宋体" w:hAnsi="宋体"/>
          <w:b w:val="0"/>
          <w:bCs w:val="0"/>
          <w:sz w:val="24"/>
          <w:highlight w:val="none"/>
          <w:lang w:eastAsia="zh-CN"/>
        </w:rPr>
        <w:t>；</w:t>
      </w:r>
    </w:p>
    <w:p>
      <w:pPr>
        <w:ind w:firstLine="480" w:firstLineChars="200"/>
        <w:rPr>
          <w:rFonts w:hint="eastAsia" w:ascii="宋体" w:hAnsi="宋体" w:eastAsia="宋体"/>
          <w:b w:val="0"/>
          <w:bCs w:val="0"/>
          <w:sz w:val="24"/>
          <w:highlight w:val="none"/>
          <w:lang w:val="en-US" w:eastAsia="zh-CN"/>
        </w:rPr>
      </w:pPr>
      <w:r>
        <w:rPr>
          <w:rFonts w:hint="eastAsia" w:ascii="宋体" w:hAnsi="宋体"/>
          <w:b w:val="0"/>
          <w:bCs w:val="0"/>
          <w:sz w:val="24"/>
          <w:highlight w:val="none"/>
          <w:lang w:val="en-US" w:eastAsia="zh-CN"/>
        </w:rPr>
        <w:t>4.22</w:t>
      </w:r>
      <w:r>
        <w:rPr>
          <w:rFonts w:hint="eastAsia" w:hAnsi="宋体" w:cs="宋体"/>
          <w:b w:val="0"/>
          <w:bCs w:val="0"/>
          <w:sz w:val="24"/>
          <w:highlight w:val="none"/>
        </w:rPr>
        <w:t>中标人提供三年内重大活动现场技术保障，提供承诺</w:t>
      </w:r>
      <w:r>
        <w:rPr>
          <w:rFonts w:hint="eastAsia" w:hAnsi="宋体" w:cs="宋体"/>
          <w:b w:val="0"/>
          <w:bCs w:val="0"/>
          <w:sz w:val="24"/>
          <w:highlight w:val="none"/>
          <w:lang w:val="en-US" w:eastAsia="zh-CN"/>
        </w:rPr>
        <w:t>书；</w:t>
      </w:r>
    </w:p>
    <w:p>
      <w:pPr>
        <w:ind w:firstLine="480" w:firstLineChars="200"/>
        <w:rPr>
          <w:rFonts w:ascii="宋体" w:hAnsi="宋体"/>
          <w:b w:val="0"/>
          <w:bCs w:val="0"/>
          <w:sz w:val="24"/>
          <w:highlight w:val="none"/>
        </w:rPr>
      </w:pPr>
      <w:r>
        <w:rPr>
          <w:rFonts w:hint="eastAsia" w:ascii="宋体" w:hAnsi="宋体"/>
          <w:b w:val="0"/>
          <w:bCs w:val="0"/>
          <w:sz w:val="24"/>
          <w:highlight w:val="none"/>
          <w:lang w:val="en-US" w:eastAsia="zh-CN"/>
        </w:rPr>
        <w:t>4.23</w:t>
      </w:r>
      <w:r>
        <w:rPr>
          <w:rFonts w:hint="eastAsia" w:ascii="宋体" w:hAnsi="宋体"/>
          <w:b w:val="0"/>
          <w:bCs w:val="0"/>
          <w:sz w:val="24"/>
          <w:highlight w:val="none"/>
        </w:rPr>
        <w:t>磋商文件中要求提交的和供应商认为需要提供的其它说明和资料。</w:t>
      </w:r>
    </w:p>
    <w:p>
      <w:pPr>
        <w:pStyle w:val="28"/>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5.1 所有投标均以人民币“元”为计算单位。</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5.2供应商要按报价表(统一格式)的内容填写单价、总价及其他事项，并由法定代表人或供应商代表签署。</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5.3采购人不接受不明确的投标方案。供应商对投标如果有说明应在投标一览表显著处予以注明。</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5.4供应商如成交，其成交单价在合同执行过程中是固定不变的，供应商不得以任何理由予以变更。以可调整的价格提交的投标将被视为非响应性投标而被拒绝。</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5.5最低投标价不能作为成交的保证。</w:t>
      </w:r>
    </w:p>
    <w:p>
      <w:pPr>
        <w:pStyle w:val="28"/>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 xml:space="preserve"> 6.投标费用</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6.1 供应商应提供的费用详见“采购公告”相应要求。</w:t>
      </w:r>
    </w:p>
    <w:p>
      <w:pPr>
        <w:pStyle w:val="28"/>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6.2未按前述各款要求提交费用的将被视为无效投标。</w:t>
      </w:r>
    </w:p>
    <w:p>
      <w:pPr>
        <w:pStyle w:val="28"/>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 xml:space="preserve">  7.响应文件的有效期</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 xml:space="preserve">  7.1 自投标日起90日内，响应文件应保持有效。如供应商无特别说明，则视为供应商接受此条款。有效期短于该规定期限的投标，将被拒绝。</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7.2 在特殊情况下，采购人可与供应商协商延长响应文件的有效期。这种要求和答复都应以书面形式进行。供应商可以拒绝接受延期要求而不会被列入不良行为记录名单。同意延长有效期的供应商除按照采购人要求修改响应文件有效期外，不能修改响应文件的其他内容。</w:t>
      </w:r>
    </w:p>
    <w:p>
      <w:pPr>
        <w:pStyle w:val="28"/>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 xml:space="preserve">  8.响应文件的签署及其他规定</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8.1 组成响应文件的各项文件均应遵守本条。</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8.2 法定代表人如果授权供应商代表处理一切与本次招投标有关事宜，须将书面形式的《法定代表人授权委托书》（按照本磋商文件第四部分格式填写）</w:t>
      </w:r>
      <w:r>
        <w:rPr>
          <w:rFonts w:hint="eastAsia" w:cs="华文楷体" w:asciiTheme="minorEastAsia" w:hAnsiTheme="minorEastAsia" w:eastAsiaTheme="minorEastAsia"/>
          <w:b/>
          <w:color w:val="000000" w:themeColor="text1"/>
          <w:sz w:val="24"/>
          <w:szCs w:val="24"/>
          <w14:textFill>
            <w14:solidFill>
              <w14:schemeClr w14:val="tx1"/>
            </w14:solidFill>
          </w14:textFill>
        </w:rPr>
        <w:t>原件附在响应文件中。</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8.3 供应商应按照磋商文件要求，在响应文件适当的位置填写供应商全称并加盖公章，同时签署法定代表人或供应商代表的中文全名。</w:t>
      </w:r>
      <w:r>
        <w:rPr>
          <w:rFonts w:hint="eastAsia" w:eastAsiaTheme="minorEastAsia"/>
          <w:b/>
          <w:sz w:val="24"/>
          <w:szCs w:val="24"/>
        </w:rPr>
        <w:t>响应文件</w:t>
      </w:r>
      <w:r>
        <w:rPr>
          <w:rFonts w:hint="eastAsia"/>
          <w:b/>
          <w:sz w:val="24"/>
          <w:szCs w:val="24"/>
        </w:rPr>
        <w:t>须编制目录及页码。响应文件书脊处应打印或书写供应商全称，打印或书写应清晰可辨。</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 xml:space="preserve">  8.4 响应文件一式4份，其中正本1份，副本3份。</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8.5 响应文件的正本必须用不褪色的蓝黑墨水填写或打印，注明“正本”字样，并由供应商的法定代表人或供应商代表签字。</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8.6 响应文件应字迹清楚、内容齐全、不得涂改和增删。如果有修改错漏处，修改处须有供应商公章及法定代表人或供应商代表签字。</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8.7因响应文件字迹潦草或表达不清所引起的不利后果由供应商承担。</w:t>
      </w:r>
    </w:p>
    <w:p>
      <w:pPr>
        <w:pStyle w:val="28"/>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9</w:t>
      </w:r>
      <w:r>
        <w:rPr>
          <w:rFonts w:cs="华文楷体" w:asciiTheme="minorEastAsia" w:hAnsiTheme="minorEastAsia" w:eastAsiaTheme="minorEastAsia"/>
          <w:color w:val="000000" w:themeColor="text1"/>
          <w:sz w:val="24"/>
          <w:szCs w:val="24"/>
          <w14:textFill>
            <w14:solidFill>
              <w14:schemeClr w14:val="tx1"/>
            </w14:solidFill>
          </w14:textFill>
        </w:rPr>
        <w:t>.</w:t>
      </w:r>
      <w:r>
        <w:rPr>
          <w:rFonts w:hint="eastAsia" w:cs="华文楷体" w:asciiTheme="minorEastAsia" w:hAnsiTheme="minorEastAsia" w:eastAsiaTheme="minorEastAsia"/>
          <w:color w:val="000000" w:themeColor="text1"/>
          <w:sz w:val="24"/>
          <w:szCs w:val="24"/>
          <w14:textFill>
            <w14:solidFill>
              <w14:schemeClr w14:val="tx1"/>
            </w14:solidFill>
          </w14:textFill>
        </w:rPr>
        <w:t>其它</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供方配合用户完成验收相关工作，并持中标通知书、合同、发票、入库单等办理付款相关手续。</w:t>
      </w:r>
    </w:p>
    <w:p>
      <w:pPr>
        <w:pStyle w:val="30"/>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三、响应文件的递交</w:t>
      </w:r>
    </w:p>
    <w:p>
      <w:pPr>
        <w:pStyle w:val="28"/>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1.响应文件的密封及标记</w:t>
      </w:r>
    </w:p>
    <w:p>
      <w:pPr>
        <w:pStyle w:val="28"/>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1.1响应文件应按以下方法分别装袋密封：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响应文件统一密封为一袋，内装响应文件正副本共一式4份（及供应商认为有必要提交的其他资料）。</w:t>
      </w:r>
      <w:r>
        <w:rPr>
          <w:rFonts w:hint="eastAsia" w:ascii="宋体" w:hAnsi="宋体" w:eastAsiaTheme="minorEastAsia"/>
          <w:b/>
          <w:sz w:val="24"/>
        </w:rPr>
        <w:t>响应文件</w:t>
      </w:r>
      <w:r>
        <w:rPr>
          <w:rFonts w:hint="eastAsia" w:ascii="宋体" w:hAnsi="宋体"/>
          <w:b/>
          <w:sz w:val="24"/>
        </w:rPr>
        <w:t>正副本装于一个密封袋内，不得分开封装。</w:t>
      </w:r>
      <w:r>
        <w:rPr>
          <w:rFonts w:hint="eastAsia" w:cs="华文楷体" w:asciiTheme="minorEastAsia" w:hAnsiTheme="minorEastAsia" w:eastAsiaTheme="minorEastAsia"/>
          <w:color w:val="000000" w:themeColor="text1"/>
          <w:sz w:val="24"/>
          <w14:textFill>
            <w14:solidFill>
              <w14:schemeClr w14:val="tx1"/>
            </w14:solidFill>
          </w14:textFill>
        </w:rPr>
        <w:t>封口处应有法定代表人或供应商代表的签字及供应商公章。封皮上写明项目编号、项目名称、供应商全称、地址，并注明“投标时启封”字样。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1.2如果供应商未按上述要求对响应文件密封及加写标记，采购人对响应文件的误投和提前启封概不负责。对由此造成提前开封的响应文件，采购人有权予以拒绝，并退回供应商。</w:t>
      </w:r>
    </w:p>
    <w:p>
      <w:pPr>
        <w:pStyle w:val="28"/>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2.投标截止时间</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2.1响应文件须按照磋商文件规定的时间、地点送达。</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2.2采购人推迟投标截止时间时，采购人和供应商的权利及义务将受到新的截止期的约束。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2.3拒绝接收在提交响应文件截止时间以后送达的响应文件。</w:t>
      </w:r>
    </w:p>
    <w:p>
      <w:pPr>
        <w:pStyle w:val="28"/>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3.响应文件的修改和撤回</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3.1如果供应商有修改和撤回响应文件要求的，应以书面形式提出，由供应商法定代表人或供应商代表签署，须在提交响应文件截止时间前提出，并经采购人签字确认接受，否则无效。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3.2供应商修改响应文件的书面材料，须密封提交，同时应在封套上标明“修改响应文件(并注明项目编号)”和“投标时启封”字样。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3.3在提交响应文件截止时间之后，供应商不得撤回投标。否则撤回响应文件的行为将被记录在案，供应商今后参与同类采购项目的机会可能会受到影响。</w:t>
      </w:r>
    </w:p>
    <w:p>
      <w:pPr>
        <w:pStyle w:val="30"/>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四、开标评标</w:t>
      </w:r>
    </w:p>
    <w:p>
      <w:pPr>
        <w:pStyle w:val="28"/>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1.评标原则</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1.1供应商资格与资质条件是否符合磋商文件的要求；</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1.2供应商在响应文件中提交的商务和技术文件是否响应本磋商文件的要求；</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1.3供应商的技术文件是否合理可行；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1.4供应商是否具备良好的经营状况和履行本项目的能力。</w:t>
      </w:r>
    </w:p>
    <w:p>
      <w:pPr>
        <w:pStyle w:val="28"/>
        <w:numPr>
          <w:ilvl w:val="0"/>
          <w:numId w:val="0"/>
        </w:numPr>
        <w:ind w:left="420" w:leftChars="200"/>
        <w:rPr>
          <w:b/>
          <w:sz w:val="24"/>
          <w:szCs w:val="24"/>
        </w:rPr>
      </w:pPr>
      <w:r>
        <w:rPr>
          <w:rFonts w:hint="eastAsia"/>
          <w:b/>
          <w:sz w:val="24"/>
          <w:szCs w:val="24"/>
        </w:rPr>
        <w:t>2.开标</w:t>
      </w:r>
    </w:p>
    <w:p>
      <w:pPr>
        <w:pStyle w:val="28"/>
        <w:numPr>
          <w:ilvl w:val="0"/>
          <w:numId w:val="0"/>
        </w:numPr>
        <w:tabs>
          <w:tab w:val="left" w:pos="420"/>
        </w:tabs>
        <w:ind w:left="420" w:leftChars="200"/>
        <w:rPr>
          <w:b/>
          <w:sz w:val="24"/>
          <w:szCs w:val="24"/>
        </w:rPr>
      </w:pPr>
      <w:r>
        <w:rPr>
          <w:b/>
          <w:sz w:val="24"/>
          <w:szCs w:val="24"/>
        </w:rPr>
        <w:t>3</w:t>
      </w:r>
      <w:r>
        <w:rPr>
          <w:rFonts w:hint="eastAsia"/>
          <w:b/>
          <w:sz w:val="24"/>
          <w:szCs w:val="24"/>
        </w:rPr>
        <w:t>.评标</w:t>
      </w:r>
    </w:p>
    <w:p>
      <w:pPr>
        <w:ind w:firstLine="480" w:firstLineChars="200"/>
        <w:rPr>
          <w:rFonts w:ascii="宋体" w:hAnsi="宋体"/>
          <w:color w:val="000000"/>
          <w:sz w:val="24"/>
        </w:rPr>
      </w:pPr>
      <w:r>
        <w:rPr>
          <w:rFonts w:hint="eastAsia" w:ascii="宋体" w:hAnsi="宋体"/>
          <w:color w:val="000000"/>
          <w:sz w:val="24"/>
        </w:rPr>
        <w:t>由我校招标办负责组建的评标小组本着公平、公正的原则，采用综合评分法评标。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3.1评标过程的保密与投标的澄清。开标后，直至向成交的供应商授予合同时止，凡是与审查、澄清、评价和比较投标的有关资料以及授标建议等，均不得向供应商与评标无关的其他人员透露。在评标过程中，如果供应商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3.2为有助于对响应文件的审查、评价和比较，评标小组有权要求供应商对响应文件中含义不明确的内容作必要的澄清或说明，有关澄清或说明的内容应以书面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3.3评标小组将审查响应文件是否完整，有无计算上的错误，是否足额提交相关费用，文件签署是否合格，响应文件是否编排有序，且基本符合磋商文件要求。</w:t>
      </w:r>
    </w:p>
    <w:p>
      <w:pPr>
        <w:pStyle w:val="30"/>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五、授予合同</w:t>
      </w:r>
    </w:p>
    <w:p>
      <w:pPr>
        <w:spacing w:line="340" w:lineRule="exact"/>
        <w:ind w:firstLine="482"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1.授予合同的顺序</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评标小组将根据最终定标的结果将合同授予成交人。成交人放弃成交或因不可抗力提出不能履行合同，或者本文件规定应当提交履约保证金而在规定期限未能提交的，采购人将把合同授予排名第二的供应商。排名第二的供应商因前款规定的同样原因不能签订合同的，该项目另行采购。</w:t>
      </w:r>
    </w:p>
    <w:p>
      <w:pPr>
        <w:pStyle w:val="28"/>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2.采购人拒绝投标的权利</w:t>
      </w:r>
    </w:p>
    <w:p>
      <w:pPr>
        <w:pStyle w:val="28"/>
        <w:numPr>
          <w:ilvl w:val="0"/>
          <w:numId w:val="0"/>
        </w:numPr>
        <w:spacing w:line="340" w:lineRule="exact"/>
        <w:ind w:left="420" w:left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出现下列情况之一时，采购人有权拒绝所有投标，并将理由通知所有供应商：</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2.2供应商的投标均超过了</w:t>
      </w:r>
      <w:r>
        <w:rPr>
          <w:rFonts w:hint="eastAsia"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pPr>
      <w:r>
        <w:rPr>
          <w:rFonts w:hint="eastAsia"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t>2.3因重大变故，采购任务取消的。</w:t>
      </w:r>
    </w:p>
    <w:p>
      <w:pPr>
        <w:pStyle w:val="28"/>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3.成交通知</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3.2采购人同时在江苏师范大学招投标网（http://ztbb.jsnu.edu.cn）发布成交信息。采购人对未成交的供应商不做未成交原因的解释。</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3.3成交通知书是合同的组成部分。</w:t>
      </w:r>
    </w:p>
    <w:p>
      <w:pPr>
        <w:pStyle w:val="28"/>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4.签订合同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4.2成交人应按照磋商文件、响应文件及评审过程中有关的澄清说明或补正文件的内容与采购人签订合同。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4.3供应商一旦成交，签订合同后不得分包或转包，否则将被视为成交后撤回投标处理。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成交后无正当理由拒不与采购人签订采购合同或不按约定签订或履行合同，采购人将其失信行为列入不良记录并报省财政厅备案，且3年内禁止在我校参与招投标活动。</w:t>
      </w:r>
    </w:p>
    <w:p>
      <w:pPr>
        <w:ind w:firstLine="480" w:firstLineChars="200"/>
        <w:rPr>
          <w:rFonts w:ascii="宋体" w:hAnsi="宋体"/>
          <w:b/>
          <w:sz w:val="24"/>
          <w:shd w:val="clear" w:color="auto" w:fill="FFFFFF" w:themeFill="background1"/>
        </w:rPr>
      </w:pPr>
      <w:r>
        <w:rPr>
          <w:rFonts w:hint="eastAsia" w:ascii="宋体" w:hAnsi="宋体"/>
          <w:sz w:val="24"/>
          <w:shd w:val="clear" w:color="auto" w:fill="FFFFFF" w:themeFill="background1"/>
        </w:rPr>
        <w:t xml:space="preserve">4.6 </w:t>
      </w:r>
      <w:r>
        <w:rPr>
          <w:rFonts w:hint="eastAsia" w:cs="华文楷体" w:asciiTheme="minorEastAsia" w:hAnsiTheme="minorEastAsia" w:eastAsiaTheme="minorEastAsia"/>
          <w:color w:val="000000" w:themeColor="text1"/>
          <w:sz w:val="24"/>
          <w14:textFill>
            <w14:solidFill>
              <w14:schemeClr w14:val="tx1"/>
            </w14:solidFill>
          </w14:textFill>
        </w:rPr>
        <w:t>合同签订前招标人有权要求中标人提供响应文件中相关材料的原件以备查验，如中标人不能在规定时间内提供相关材料原件按虚假应标处理并承担相应法律责任。</w:t>
      </w:r>
    </w:p>
    <w:p>
      <w:pPr>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w:t>
      </w:r>
      <w:r>
        <w:rPr>
          <w:rFonts w:cs="华文楷体" w:asciiTheme="minorEastAsia" w:hAnsiTheme="minorEastAsia" w:eastAsiaTheme="minorEastAsia"/>
          <w:color w:val="000000" w:themeColor="text1"/>
          <w:sz w:val="24"/>
          <w14:textFill>
            <w14:solidFill>
              <w14:schemeClr w14:val="tx1"/>
            </w14:solidFill>
          </w14:textFill>
        </w:rPr>
        <w:t>.7</w:t>
      </w:r>
      <w:r>
        <w:rPr>
          <w:rFonts w:hint="eastAsia" w:ascii="宋体" w:hAnsi="宋体"/>
          <w:sz w:val="24"/>
          <w:shd w:val="clear" w:color="auto" w:fill="FFFFFF" w:themeFill="background1"/>
        </w:rPr>
        <w:t>合同主要条款详见“采购公告附件”。</w:t>
      </w:r>
    </w:p>
    <w:p>
      <w:pPr>
        <w:pStyle w:val="30"/>
        <w:spacing w:before="0" w:line="340" w:lineRule="exact"/>
        <w:ind w:firstLine="361" w:firstLineChars="15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六、询问和质疑</w:t>
      </w:r>
    </w:p>
    <w:p>
      <w:pPr>
        <w:pStyle w:val="28"/>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1.供应商有权就招标程序或签订合同的事宜提出质疑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1.1供应商对采购事项有疑问的，可以向采购人提出询问。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1.2招标程序受《中华人民共和国政府采购法》、《中华人民共和国招标投标法》和相关法律法规的约束，并受到严格的内部监察，以确保授予合同过程的公平公正。如果供应商认为其投标未获公平评审或磋商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1.3采购人或采购人将在收到书面质疑后7个工作日内审查质疑事项，做出答复或相关处理决定，并以书面形式通知质疑供应商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1.4质疑供应商对采购人或对采购人的答复不满意，或采购人未在规定的时间内做出答复的，可以在答复期满后15个工作日内向江苏师范大学有关监督部门投诉。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pStyle w:val="30"/>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七、保密和披露</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1.保密和披露</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2.供应商自领取磋商文件之日起，须承诺承担本招标项目下的保密义务，不得将因本次招标获得的信息向第三人外传。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3.采购人有权将供应商提供的所有资料向其他政府部门或有关的非政府机构负责评审响应文件的人员或与评审有关的人员披露。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pStyle w:val="30"/>
        <w:spacing w:before="0" w:line="340" w:lineRule="exact"/>
        <w:ind w:firstLine="482" w:firstLineChars="200"/>
        <w:jc w:val="both"/>
        <w:outlineLvl w:val="9"/>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八、废标条款</w:t>
      </w: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投标人有下列情况之一的，应作为无效响应文件，不再参加评标：</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响应文件中的投标函未加盖供应商的公章的，或者企业法定代表人委托代理人没有合法、有效的委托书（原件）或委托书无委托代理人签字或印章的。</w:t>
      </w:r>
    </w:p>
    <w:p>
      <w:pPr>
        <w:numPr>
          <w:ilvl w:val="0"/>
          <w:numId w:val="3"/>
        </w:numPr>
        <w:ind w:left="0" w:firstLine="480" w:firstLineChars="200"/>
        <w:rPr>
          <w:rFonts w:ascii="宋体" w:hAnsi="宋体"/>
          <w:sz w:val="24"/>
        </w:rPr>
      </w:pPr>
      <w:r>
        <w:rPr>
          <w:rFonts w:hint="eastAsia" w:ascii="宋体" w:hAnsi="宋体"/>
          <w:sz w:val="24"/>
        </w:rPr>
        <w:t>未按磋商文件要求缴纳相关费用的。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未按磋商文件规定的格式填写，内容不全或关键字模糊、无法辨认的。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供应商名称或组织机构等与原件不一致的。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供应商未通过资格审查和符合性审查的。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供应商资格条件不符合国家有关规定或磋商文件要求的。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明显不符合技术规范、技术标准的要求。</w:t>
      </w:r>
    </w:p>
    <w:p>
      <w:pPr>
        <w:numPr>
          <w:ilvl w:val="0"/>
          <w:numId w:val="3"/>
        </w:numPr>
        <w:spacing w:line="360" w:lineRule="exact"/>
        <w:ind w:left="0" w:firstLine="480" w:firstLineChars="200"/>
        <w:rPr>
          <w:rFonts w:ascii="宋体" w:hAnsi="宋体" w:cs="楷体"/>
          <w:sz w:val="24"/>
          <w:shd w:val="clear" w:color="auto" w:fill="FFFFFF" w:themeFill="background1"/>
        </w:rPr>
      </w:pPr>
      <w:r>
        <w:rPr>
          <w:rFonts w:hint="eastAsia" w:ascii="宋体" w:hAnsi="宋体" w:cs="楷体"/>
          <w:sz w:val="24"/>
        </w:rPr>
        <w:t>投标报价超过磋商文件规</w:t>
      </w:r>
      <w:r>
        <w:rPr>
          <w:rFonts w:hint="eastAsia" w:ascii="宋体" w:hAnsi="宋体" w:cs="楷体"/>
          <w:sz w:val="24"/>
          <w:shd w:val="clear" w:color="auto" w:fill="FFFFFF" w:themeFill="background1"/>
        </w:rPr>
        <w:t>定的最高限价的。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不同供应商的响应文件出现了评标小组认为不应当雷同的情况。</w:t>
      </w:r>
    </w:p>
    <w:p>
      <w:pPr>
        <w:spacing w:line="360" w:lineRule="exact"/>
        <w:ind w:left="480"/>
        <w:rPr>
          <w:rFonts w:ascii="宋体" w:hAnsi="宋体" w:cs="楷体"/>
          <w:sz w:val="24"/>
        </w:rPr>
      </w:pPr>
      <w:r>
        <w:rPr>
          <w:rFonts w:hint="eastAsia" w:ascii="宋体" w:hAnsi="宋体" w:cs="楷体"/>
          <w:sz w:val="24"/>
        </w:rPr>
        <w:t>10.响应文件提出了不能满足磋商文件要求或采购人不能接受的支付办法。</w:t>
      </w:r>
    </w:p>
    <w:p>
      <w:pPr>
        <w:spacing w:line="360" w:lineRule="exact"/>
        <w:ind w:left="480"/>
        <w:rPr>
          <w:rFonts w:ascii="宋体" w:hAnsi="宋体" w:cs="楷体"/>
          <w:sz w:val="24"/>
        </w:rPr>
      </w:pPr>
      <w:r>
        <w:rPr>
          <w:rFonts w:hint="eastAsia" w:ascii="宋体" w:hAnsi="宋体" w:cs="楷体"/>
          <w:sz w:val="24"/>
        </w:rPr>
        <w:t>11.串通投标、以行贿手段谋取中标或者以其他弄虚作假方式投标的。</w:t>
      </w:r>
    </w:p>
    <w:p>
      <w:pPr>
        <w:spacing w:line="360" w:lineRule="exact"/>
        <w:ind w:left="480"/>
        <w:rPr>
          <w:rFonts w:ascii="宋体" w:hAnsi="宋体" w:cs="楷体"/>
          <w:sz w:val="24"/>
        </w:rPr>
      </w:pPr>
      <w:r>
        <w:rPr>
          <w:rFonts w:hint="eastAsia" w:ascii="宋体" w:hAnsi="宋体" w:cs="楷体"/>
          <w:sz w:val="24"/>
        </w:rPr>
        <w:t>12.未按招标文件要求递交相关证明材料的。</w:t>
      </w:r>
    </w:p>
    <w:p>
      <w:pPr>
        <w:spacing w:line="360" w:lineRule="exact"/>
        <w:ind w:left="480"/>
        <w:rPr>
          <w:rFonts w:ascii="宋体" w:hAnsi="宋体" w:cs="楷体"/>
          <w:sz w:val="24"/>
        </w:rPr>
      </w:pPr>
      <w:r>
        <w:rPr>
          <w:rFonts w:hint="eastAsia" w:ascii="宋体" w:hAnsi="宋体" w:cs="楷体"/>
          <w:sz w:val="24"/>
        </w:rPr>
        <w:t>13.投标人递交两份或多份内容不同的投标文件，或在一份投标文件中对同一招标项目报有两个或多个报价，且未声明哪一个有效的。</w:t>
      </w:r>
    </w:p>
    <w:p>
      <w:pPr>
        <w:widowControl/>
        <w:jc w:val="left"/>
        <w:rPr>
          <w:rFonts w:cs="华文楷体" w:asciiTheme="minorEastAsia" w:hAnsiTheme="minorEastAsia" w:eastAsiaTheme="minorEastAsia"/>
          <w:color w:val="000000" w:themeColor="text1"/>
          <w:sz w:val="24"/>
          <w14:textFill>
            <w14:solidFill>
              <w14:schemeClr w14:val="tx1"/>
            </w14:solidFill>
          </w14:textFill>
        </w:rPr>
      </w:pPr>
      <w:r>
        <w:rPr>
          <w:rFonts w:cs="华文楷体" w:asciiTheme="minorEastAsia" w:hAnsiTheme="minorEastAsia" w:eastAsiaTheme="minorEastAsia"/>
          <w:color w:val="000000" w:themeColor="text1"/>
          <w:sz w:val="24"/>
          <w14:textFill>
            <w14:solidFill>
              <w14:schemeClr w14:val="tx1"/>
            </w14:solidFill>
          </w14:textFill>
        </w:rPr>
        <w:br w:type="page"/>
      </w:r>
    </w:p>
    <w:p>
      <w:pPr>
        <w:spacing w:line="340" w:lineRule="exact"/>
        <w:ind w:firstLine="562" w:firstLineChars="200"/>
        <w:jc w:val="center"/>
        <w:rPr>
          <w:rFonts w:cs="华文楷体" w:asciiTheme="minorEastAsia" w:hAnsiTheme="minorEastAsia" w:eastAsiaTheme="minorEastAsia"/>
          <w:b/>
          <w:bCs/>
          <w:color w:val="000000" w:themeColor="text1"/>
          <w:kern w:val="44"/>
          <w:sz w:val="28"/>
          <w:szCs w:val="28"/>
          <w14:textFill>
            <w14:solidFill>
              <w14:schemeClr w14:val="tx1"/>
            </w14:solidFill>
          </w14:textFill>
        </w:rPr>
      </w:pPr>
      <w:r>
        <w:rPr>
          <w:rFonts w:hint="eastAsia" w:cs="华文楷体" w:asciiTheme="minorEastAsia" w:hAnsiTheme="minorEastAsia" w:eastAsiaTheme="minorEastAsia"/>
          <w:b/>
          <w:bCs/>
          <w:color w:val="000000" w:themeColor="text1"/>
          <w:kern w:val="44"/>
          <w:sz w:val="28"/>
          <w:szCs w:val="28"/>
          <w14:textFill>
            <w14:solidFill>
              <w14:schemeClr w14:val="tx1"/>
            </w14:solidFill>
          </w14:textFill>
        </w:rPr>
        <w:t>第二章项目需求</w:t>
      </w:r>
    </w:p>
    <w:p>
      <w:pPr>
        <w:spacing w:line="340" w:lineRule="exact"/>
        <w:ind w:firstLine="562" w:firstLineChars="200"/>
        <w:jc w:val="center"/>
        <w:rPr>
          <w:rFonts w:cs="华文楷体" w:asciiTheme="minorEastAsia" w:hAnsiTheme="minorEastAsia" w:eastAsiaTheme="minorEastAsia"/>
          <w:b/>
          <w:bCs/>
          <w:color w:val="000000" w:themeColor="text1"/>
          <w:kern w:val="44"/>
          <w:sz w:val="28"/>
          <w:szCs w:val="28"/>
          <w14:textFill>
            <w14:solidFill>
              <w14:schemeClr w14:val="tx1"/>
            </w14:solidFill>
          </w14:textFill>
        </w:rPr>
      </w:pPr>
    </w:p>
    <w:p>
      <w:pPr>
        <w:adjustRightInd w:val="0"/>
        <w:snapToGrid w:val="0"/>
        <w:ind w:firstLine="602" w:firstLineChars="250"/>
        <w:rPr>
          <w:rFonts w:ascii="宋体" w:hAnsi="宋体" w:cs="宋体"/>
          <w:b/>
          <w:sz w:val="24"/>
        </w:rPr>
      </w:pPr>
      <w:r>
        <w:rPr>
          <w:rFonts w:hint="eastAsia" w:ascii="宋体" w:hAnsi="宋体" w:cs="宋体"/>
          <w:b/>
          <w:sz w:val="24"/>
        </w:rPr>
        <w:t>一、项目概况</w:t>
      </w:r>
    </w:p>
    <w:p>
      <w:pPr>
        <w:adjustRightInd w:val="0"/>
        <w:snapToGrid w:val="0"/>
        <w:ind w:firstLine="600" w:firstLineChars="250"/>
        <w:rPr>
          <w:rFonts w:ascii="宋体" w:hAnsi="宋体" w:cs="宋体"/>
          <w:sz w:val="24"/>
        </w:rPr>
      </w:pPr>
      <w:r>
        <w:rPr>
          <w:rFonts w:hint="eastAsia" w:ascii="宋体" w:hAnsi="宋体" w:cs="宋体"/>
          <w:sz w:val="24"/>
        </w:rPr>
        <w:t>本项目为 202</w:t>
      </w:r>
      <w:r>
        <w:rPr>
          <w:rFonts w:ascii="宋体" w:hAnsi="宋体" w:cs="宋体"/>
          <w:sz w:val="24"/>
        </w:rPr>
        <w:t>3</w:t>
      </w:r>
      <w:r>
        <w:rPr>
          <w:rFonts w:hint="eastAsia" w:ascii="宋体" w:hAnsi="宋体" w:cs="宋体"/>
          <w:sz w:val="24"/>
        </w:rPr>
        <w:t>年“ 线上课程资源录播实验室系统 ”。</w:t>
      </w:r>
    </w:p>
    <w:p>
      <w:pPr>
        <w:adjustRightInd w:val="0"/>
        <w:snapToGrid w:val="0"/>
        <w:ind w:firstLine="480" w:firstLineChars="200"/>
        <w:rPr>
          <w:rFonts w:ascii="宋体" w:hAnsi="宋体" w:cs="宋体"/>
          <w:sz w:val="24"/>
        </w:rPr>
      </w:pPr>
      <w:r>
        <w:rPr>
          <w:rFonts w:hint="eastAsia" w:ascii="宋体" w:hAnsi="宋体" w:cs="宋体"/>
          <w:sz w:val="24"/>
        </w:rPr>
        <w:t>项目要求在演播系统设计中采用稳定、合理和可靠的技术，结合大学实际教学的需求和弱电系统的相关规范，充分利用现有的空间，建设一套涵盖视频拍摄、音频录制、音视频后期制作、虚拟演播、导播控制等众多功能的多功能演播室，确保满足学校开展相关教学工作。通过公开招标，确定一家能够对本项目的供货、安装、调试、验收、交付使用、培训和质保期内维修保养等提供产品及服务的供应商。</w:t>
      </w:r>
    </w:p>
    <w:p>
      <w:pPr>
        <w:adjustRightInd w:val="0"/>
        <w:snapToGrid w:val="0"/>
        <w:ind w:firstLine="480" w:firstLineChars="200"/>
        <w:rPr>
          <w:rFonts w:ascii="宋体" w:hAnsi="宋体" w:cs="宋体"/>
          <w:sz w:val="24"/>
        </w:rPr>
      </w:pPr>
    </w:p>
    <w:p>
      <w:pPr>
        <w:adjustRightInd w:val="0"/>
        <w:snapToGrid w:val="0"/>
        <w:ind w:firstLine="600" w:firstLineChars="249"/>
        <w:rPr>
          <w:rFonts w:ascii="宋体" w:hAnsi="宋体" w:cs="宋体"/>
          <w:sz w:val="24"/>
        </w:rPr>
      </w:pPr>
      <w:r>
        <w:rPr>
          <w:rFonts w:hint="eastAsia" w:ascii="宋体" w:hAnsi="宋体" w:cs="宋体"/>
          <w:b/>
          <w:bCs/>
          <w:sz w:val="24"/>
        </w:rPr>
        <w:t>二、项目建设内容及整体要求</w:t>
      </w:r>
    </w:p>
    <w:p>
      <w:pPr>
        <w:adjustRightInd w:val="0"/>
        <w:snapToGrid w:val="0"/>
        <w:ind w:firstLine="480" w:firstLineChars="200"/>
        <w:rPr>
          <w:rFonts w:ascii="宋体" w:hAnsi="宋体" w:cs="宋体"/>
          <w:sz w:val="24"/>
        </w:rPr>
      </w:pPr>
      <w:r>
        <w:rPr>
          <w:rFonts w:hint="eastAsia" w:ascii="宋体" w:hAnsi="宋体" w:cs="宋体"/>
          <w:sz w:val="24"/>
        </w:rPr>
        <w:t>投标单位需要满足本招标文件技术说明书中有关各子系统的功能描述、配置清单和技术参数的要求。</w:t>
      </w:r>
    </w:p>
    <w:p>
      <w:pPr>
        <w:adjustRightInd w:val="0"/>
        <w:snapToGrid w:val="0"/>
        <w:ind w:firstLine="480" w:firstLineChars="200"/>
        <w:rPr>
          <w:rFonts w:ascii="宋体" w:hAnsi="宋体" w:cs="宋体"/>
          <w:sz w:val="24"/>
        </w:rPr>
      </w:pPr>
      <w:r>
        <w:rPr>
          <w:rFonts w:hint="eastAsia" w:ascii="宋体" w:hAnsi="宋体" w:cs="宋体"/>
          <w:sz w:val="24"/>
        </w:rPr>
        <w:t>采购方确认后签订合同，中标单位完成项目的供货、运输、安装、调试、装修施工、验收、操作维护培训，直至交付最终用户使用，并提供售后服务。具体包括以下内容：</w:t>
      </w:r>
    </w:p>
    <w:p>
      <w:pPr>
        <w:adjustRightInd w:val="0"/>
        <w:snapToGrid w:val="0"/>
        <w:ind w:firstLine="480" w:firstLineChars="200"/>
        <w:rPr>
          <w:rFonts w:ascii="宋体" w:hAnsi="宋体" w:cs="宋体"/>
          <w:sz w:val="24"/>
        </w:rPr>
      </w:pPr>
      <w:r>
        <w:rPr>
          <w:rFonts w:ascii="宋体" w:hAnsi="宋体" w:cs="宋体"/>
          <w:sz w:val="24"/>
        </w:rPr>
        <w:t>1</w:t>
      </w:r>
      <w:r>
        <w:rPr>
          <w:rFonts w:hint="eastAsia" w:ascii="宋体" w:hAnsi="宋体" w:cs="宋体"/>
          <w:sz w:val="24"/>
        </w:rPr>
        <w:t>、必要基础结构的设计与施工（含空间搭建、视频、音频、网络、强电、声学设计、光学设计等）；</w:t>
      </w:r>
    </w:p>
    <w:p>
      <w:pPr>
        <w:adjustRightInd w:val="0"/>
        <w:snapToGrid w:val="0"/>
        <w:ind w:firstLine="480" w:firstLineChars="200"/>
        <w:rPr>
          <w:rFonts w:ascii="宋体" w:hAnsi="宋体" w:cs="宋体"/>
          <w:sz w:val="24"/>
        </w:rPr>
      </w:pPr>
      <w:r>
        <w:rPr>
          <w:rFonts w:ascii="宋体" w:hAnsi="宋体" w:cs="宋体"/>
          <w:sz w:val="24"/>
        </w:rPr>
        <w:t>2</w:t>
      </w:r>
      <w:r>
        <w:rPr>
          <w:rFonts w:hint="eastAsia" w:ascii="宋体" w:hAnsi="宋体" w:cs="宋体"/>
          <w:sz w:val="24"/>
        </w:rPr>
        <w:t>、视音频系统集成与技术服务（导播间、虚拟拍摄区域等）。</w:t>
      </w:r>
    </w:p>
    <w:p>
      <w:pPr>
        <w:adjustRightInd w:val="0"/>
        <w:snapToGrid w:val="0"/>
        <w:ind w:firstLine="480" w:firstLineChars="200"/>
        <w:rPr>
          <w:rFonts w:ascii="宋体" w:hAnsi="宋体" w:cs="宋体"/>
          <w:sz w:val="24"/>
        </w:rPr>
      </w:pPr>
      <w:r>
        <w:rPr>
          <w:rFonts w:ascii="宋体" w:hAnsi="宋体" w:cs="宋体"/>
          <w:sz w:val="24"/>
        </w:rPr>
        <w:t>3</w:t>
      </w:r>
      <w:r>
        <w:rPr>
          <w:rFonts w:hint="eastAsia" w:ascii="宋体" w:hAnsi="宋体" w:cs="宋体"/>
          <w:sz w:val="24"/>
        </w:rPr>
        <w:t>、投标单位需要负责项目范围内空间搭建、音视频系统深化设计、整体音视频拍摄、录音环境的专业场所的设计及实现、材料设备采购、试验、保管、运输、安装、测试、清洁、产品保护、系统集成、验收合格、保修、培训、售后服务等工作，具体包括以下内容：</w:t>
      </w:r>
    </w:p>
    <w:p>
      <w:pPr>
        <w:adjustRightInd w:val="0"/>
        <w:snapToGrid w:val="0"/>
        <w:ind w:firstLine="480" w:firstLineChars="200"/>
        <w:rPr>
          <w:rFonts w:ascii="宋体" w:hAnsi="宋体" w:cs="宋体"/>
          <w:sz w:val="24"/>
        </w:rPr>
      </w:pPr>
      <w:r>
        <w:rPr>
          <w:rFonts w:hint="eastAsia" w:ascii="宋体" w:hAnsi="宋体" w:cs="宋体"/>
          <w:sz w:val="24"/>
        </w:rPr>
        <w:t>负责出具本次招标范围内各系统的深化设计、包含演播室空间搭建、配套专业环境布置、音视频设备采购、施工安装、系统调试等所有内容。</w:t>
      </w:r>
    </w:p>
    <w:p>
      <w:pPr>
        <w:adjustRightInd w:val="0"/>
        <w:snapToGrid w:val="0"/>
        <w:ind w:firstLine="480" w:firstLineChars="200"/>
        <w:rPr>
          <w:rFonts w:ascii="宋体" w:hAnsi="宋体" w:cs="宋体"/>
          <w:sz w:val="24"/>
        </w:rPr>
      </w:pPr>
      <w:r>
        <w:rPr>
          <w:rFonts w:hint="eastAsia" w:ascii="宋体" w:hAnsi="宋体" w:cs="宋体"/>
          <w:sz w:val="24"/>
        </w:rPr>
        <w:t>项目建设中，不造成浪费，不产生不必要的额外费用。</w:t>
      </w:r>
    </w:p>
    <w:p>
      <w:pPr>
        <w:adjustRightInd w:val="0"/>
        <w:snapToGrid w:val="0"/>
        <w:ind w:firstLine="480" w:firstLineChars="200"/>
        <w:rPr>
          <w:rFonts w:ascii="宋体" w:hAnsi="宋体" w:cs="宋体"/>
          <w:sz w:val="24"/>
        </w:rPr>
      </w:pPr>
      <w:r>
        <w:rPr>
          <w:rFonts w:hint="eastAsia" w:ascii="宋体" w:hAnsi="宋体" w:cs="宋体"/>
          <w:sz w:val="24"/>
        </w:rPr>
        <w:t>负责灯光系统的设计与安装，充分利用已有灯光设备，充分设计规划，建设本项目灯光系统。</w:t>
      </w:r>
    </w:p>
    <w:p>
      <w:pPr>
        <w:adjustRightInd w:val="0"/>
        <w:snapToGrid w:val="0"/>
        <w:ind w:firstLine="480" w:firstLineChars="200"/>
        <w:rPr>
          <w:rFonts w:ascii="宋体" w:hAnsi="宋体" w:cs="宋体"/>
          <w:sz w:val="24"/>
        </w:rPr>
      </w:pPr>
      <w:r>
        <w:rPr>
          <w:rFonts w:hint="eastAsia" w:ascii="宋体" w:hAnsi="宋体" w:cs="宋体"/>
          <w:sz w:val="24"/>
        </w:rPr>
        <w:t>负责整个音视频系统的集成和协调管理，包括不在本次招标范围内的与学校现有其他系统之间的配合协调和联合调试工作，确保项目在完成本项目规划设计功能的基础上，能完善的嵌入学校已有系统中。</w:t>
      </w:r>
    </w:p>
    <w:p>
      <w:pPr>
        <w:adjustRightInd w:val="0"/>
        <w:snapToGrid w:val="0"/>
        <w:ind w:firstLine="480" w:firstLineChars="200"/>
        <w:rPr>
          <w:rFonts w:ascii="宋体" w:hAnsi="宋体" w:cs="宋体"/>
          <w:sz w:val="24"/>
        </w:rPr>
      </w:pPr>
      <w:r>
        <w:rPr>
          <w:rFonts w:hint="eastAsia" w:ascii="宋体" w:hAnsi="宋体" w:cs="宋体"/>
          <w:sz w:val="24"/>
        </w:rPr>
        <w:t>负责整个音视频系统的联动调试、试运行、竣工验收，并根据建设单位的要求完成本项目所需的整体联动调试等。</w:t>
      </w:r>
    </w:p>
    <w:p>
      <w:pPr>
        <w:adjustRightInd w:val="0"/>
        <w:snapToGrid w:val="0"/>
        <w:ind w:firstLine="480" w:firstLineChars="200"/>
        <w:rPr>
          <w:rFonts w:ascii="宋体" w:hAnsi="宋体" w:cs="宋体"/>
          <w:sz w:val="24"/>
        </w:rPr>
      </w:pPr>
      <w:r>
        <w:rPr>
          <w:rFonts w:hint="eastAsia" w:ascii="宋体" w:hAnsi="宋体" w:cs="宋体"/>
          <w:sz w:val="24"/>
        </w:rPr>
        <w:t>负责整个音视频系统的竣工资料的收集、编制和管理，提交各个系统以及与相关专用软件的操作规程、系统维修或保养手册、用户操作手册等的纸质版与电子版。</w:t>
      </w:r>
    </w:p>
    <w:p>
      <w:pPr>
        <w:adjustRightInd w:val="0"/>
        <w:snapToGrid w:val="0"/>
        <w:ind w:firstLine="480" w:firstLineChars="200"/>
        <w:rPr>
          <w:rFonts w:ascii="宋体" w:hAnsi="宋体" w:cs="宋体"/>
          <w:sz w:val="24"/>
        </w:rPr>
      </w:pPr>
      <w:r>
        <w:rPr>
          <w:rFonts w:hint="eastAsia" w:ascii="宋体" w:hAnsi="宋体" w:cs="宋体"/>
          <w:sz w:val="24"/>
        </w:rPr>
        <w:t>根据国家相关规定、技术规范等提供校方各个系统设备的使用人员培训及后续维修保养服务。</w:t>
      </w:r>
    </w:p>
    <w:p>
      <w:pPr>
        <w:adjustRightInd w:val="0"/>
        <w:snapToGrid w:val="0"/>
        <w:ind w:firstLine="480" w:firstLineChars="200"/>
        <w:rPr>
          <w:rFonts w:ascii="宋体" w:hAnsi="宋体" w:cs="宋体"/>
          <w:sz w:val="24"/>
        </w:rPr>
      </w:pPr>
      <w:r>
        <w:rPr>
          <w:rFonts w:hint="eastAsia" w:ascii="宋体" w:hAnsi="宋体" w:cs="宋体"/>
          <w:sz w:val="24"/>
        </w:rPr>
        <w:t>满足所有相关规范及环保要求，以及为取得监管部门批准所需的相关检测等要求。</w:t>
      </w:r>
    </w:p>
    <w:p>
      <w:pPr>
        <w:adjustRightInd w:val="0"/>
        <w:snapToGrid w:val="0"/>
        <w:ind w:firstLine="480" w:firstLineChars="200"/>
        <w:rPr>
          <w:rFonts w:ascii="宋体" w:hAnsi="宋体" w:cs="宋体"/>
          <w:sz w:val="24"/>
        </w:rPr>
      </w:pPr>
      <w:r>
        <w:rPr>
          <w:rFonts w:hint="eastAsia" w:ascii="宋体" w:hAnsi="宋体" w:cs="宋体"/>
          <w:sz w:val="24"/>
        </w:rPr>
        <w:t>建设单位认为需要实施的属于本工程范围内的其它相关内容。</w:t>
      </w:r>
    </w:p>
    <w:p>
      <w:pPr>
        <w:adjustRightInd w:val="0"/>
        <w:snapToGrid w:val="0"/>
        <w:ind w:firstLine="480" w:firstLineChars="200"/>
        <w:rPr>
          <w:rFonts w:ascii="宋体" w:hAnsi="宋体" w:cs="宋体"/>
          <w:sz w:val="24"/>
        </w:rPr>
      </w:pPr>
      <w:r>
        <w:rPr>
          <w:rFonts w:hint="eastAsia" w:ascii="宋体" w:hAnsi="宋体" w:cs="宋体"/>
          <w:sz w:val="24"/>
        </w:rPr>
        <w:t>服从业主通过工作指令单、设计变更单下达的其它相关工作内容。</w:t>
      </w:r>
    </w:p>
    <w:p>
      <w:pPr>
        <w:adjustRightInd w:val="0"/>
        <w:snapToGrid w:val="0"/>
        <w:ind w:firstLine="482" w:firstLineChars="200"/>
        <w:rPr>
          <w:rFonts w:ascii="宋体" w:hAnsi="宋体" w:cs="宋体"/>
          <w:sz w:val="24"/>
        </w:rPr>
      </w:pPr>
      <w:r>
        <w:rPr>
          <w:rFonts w:hint="eastAsia" w:ascii="宋体" w:hAnsi="宋体" w:cs="宋体"/>
          <w:b/>
          <w:sz w:val="24"/>
        </w:rPr>
        <w:t>本次建设的各项系统需整体保修不少于 3 年</w:t>
      </w:r>
      <w:r>
        <w:rPr>
          <w:rFonts w:hint="eastAsia" w:ascii="宋体" w:hAnsi="宋体" w:cs="宋体"/>
          <w:sz w:val="24"/>
        </w:rPr>
        <w:t>。</w:t>
      </w:r>
    </w:p>
    <w:p>
      <w:pPr>
        <w:adjustRightInd w:val="0"/>
        <w:snapToGrid w:val="0"/>
        <w:ind w:firstLine="480" w:firstLineChars="200"/>
        <w:rPr>
          <w:rFonts w:ascii="宋体" w:hAnsi="宋体" w:cs="宋体"/>
          <w:sz w:val="24"/>
        </w:rPr>
      </w:pPr>
      <w:r>
        <w:rPr>
          <w:rFonts w:hint="eastAsia" w:ascii="宋体" w:hAnsi="宋体" w:cs="宋体"/>
          <w:sz w:val="24"/>
        </w:rPr>
        <w:t>为保证各系统在最终呈现的整体效果满足设计要求，投标单位应具有良好的音视频集成资质和出色的音视频专业人员团队，在项目实施过程中能够结合实际现状提供专业如声场设计、演播区域布光效果，整体综合配套环境设计方案并实施。</w:t>
      </w:r>
    </w:p>
    <w:p>
      <w:pPr>
        <w:adjustRightInd w:val="0"/>
        <w:snapToGrid w:val="0"/>
        <w:ind w:firstLine="480" w:firstLineChars="200"/>
        <w:rPr>
          <w:rFonts w:ascii="宋体" w:hAnsi="宋体" w:cs="宋体"/>
          <w:sz w:val="24"/>
        </w:rPr>
      </w:pPr>
    </w:p>
    <w:p>
      <w:pPr>
        <w:adjustRightInd w:val="0"/>
        <w:snapToGrid w:val="0"/>
        <w:ind w:firstLine="482" w:firstLineChars="200"/>
        <w:rPr>
          <w:rFonts w:ascii="宋体" w:hAnsi="宋体" w:cs="宋体"/>
          <w:b/>
          <w:bCs/>
          <w:sz w:val="24"/>
        </w:rPr>
      </w:pPr>
      <w:r>
        <w:rPr>
          <w:rFonts w:hint="eastAsia" w:ascii="宋体" w:hAnsi="宋体" w:cs="宋体"/>
          <w:b/>
          <w:bCs/>
          <w:sz w:val="24"/>
        </w:rPr>
        <w:t>三、设计依据</w:t>
      </w:r>
    </w:p>
    <w:p>
      <w:pPr>
        <w:adjustRightInd w:val="0"/>
        <w:snapToGrid w:val="0"/>
        <w:ind w:firstLine="480" w:firstLineChars="200"/>
        <w:rPr>
          <w:rFonts w:ascii="宋体" w:hAnsi="宋体" w:cs="宋体"/>
          <w:sz w:val="24"/>
        </w:rPr>
      </w:pPr>
      <w:r>
        <w:rPr>
          <w:rFonts w:hint="eastAsia" w:ascii="宋体" w:hAnsi="宋体" w:cs="宋体"/>
          <w:sz w:val="24"/>
        </w:rPr>
        <w:t>演播室系统集成设计、验收相关标准和规范：</w:t>
      </w:r>
    </w:p>
    <w:p>
      <w:pPr>
        <w:adjustRightInd w:val="0"/>
        <w:snapToGrid w:val="0"/>
        <w:ind w:firstLine="480" w:firstLineChars="200"/>
        <w:rPr>
          <w:rFonts w:ascii="宋体" w:hAnsi="宋体" w:cs="宋体"/>
          <w:sz w:val="24"/>
        </w:rPr>
      </w:pPr>
      <w:r>
        <w:rPr>
          <w:rFonts w:hint="eastAsia" w:ascii="宋体" w:hAnsi="宋体" w:cs="宋体"/>
          <w:sz w:val="24"/>
        </w:rPr>
        <w:t> GB/T26666-2011 地面数字电视广播传输系统实施指南</w:t>
      </w:r>
    </w:p>
    <w:p>
      <w:pPr>
        <w:adjustRightInd w:val="0"/>
        <w:snapToGrid w:val="0"/>
        <w:ind w:firstLine="480" w:firstLineChars="200"/>
        <w:rPr>
          <w:rFonts w:ascii="宋体" w:hAnsi="宋体" w:cs="宋体"/>
          <w:sz w:val="24"/>
        </w:rPr>
      </w:pPr>
      <w:r>
        <w:rPr>
          <w:rFonts w:hint="eastAsia" w:ascii="宋体" w:hAnsi="宋体" w:cs="宋体"/>
          <w:sz w:val="24"/>
        </w:rPr>
        <w:t> GB/T26681-2011 地面数字电视标准测试发射机技术要求和测量方法</w:t>
      </w:r>
    </w:p>
    <w:p>
      <w:pPr>
        <w:adjustRightInd w:val="0"/>
        <w:snapToGrid w:val="0"/>
        <w:ind w:firstLine="480" w:firstLineChars="200"/>
        <w:rPr>
          <w:rFonts w:ascii="宋体" w:hAnsi="宋体" w:cs="宋体"/>
          <w:sz w:val="24"/>
        </w:rPr>
      </w:pPr>
      <w:r>
        <w:rPr>
          <w:rFonts w:hint="eastAsia" w:ascii="宋体" w:hAnsi="宋体" w:cs="宋体"/>
          <w:sz w:val="24"/>
        </w:rPr>
        <w:t> GB/T26683-2011 地面数字电视接收器通用规范</w:t>
      </w:r>
    </w:p>
    <w:p>
      <w:pPr>
        <w:adjustRightInd w:val="0"/>
        <w:snapToGrid w:val="0"/>
        <w:ind w:firstLine="480" w:firstLineChars="200"/>
        <w:rPr>
          <w:rFonts w:ascii="宋体" w:hAnsi="宋体" w:cs="宋体"/>
          <w:sz w:val="24"/>
        </w:rPr>
      </w:pPr>
      <w:r>
        <w:rPr>
          <w:rFonts w:hint="eastAsia" w:ascii="宋体" w:hAnsi="宋体" w:cs="宋体"/>
          <w:sz w:val="24"/>
        </w:rPr>
        <w:t> GB/T26685-2011 地面数字电视接收机测量方法</w:t>
      </w:r>
    </w:p>
    <w:p>
      <w:pPr>
        <w:adjustRightInd w:val="0"/>
        <w:snapToGrid w:val="0"/>
        <w:ind w:firstLine="480" w:firstLineChars="200"/>
        <w:rPr>
          <w:rFonts w:ascii="宋体" w:hAnsi="宋体" w:cs="宋体"/>
          <w:sz w:val="24"/>
        </w:rPr>
      </w:pPr>
      <w:r>
        <w:rPr>
          <w:rFonts w:hint="eastAsia" w:ascii="宋体" w:hAnsi="宋体" w:cs="宋体"/>
          <w:sz w:val="24"/>
        </w:rPr>
        <w:t> GB/T28160-2011 数字电视广播电子节目指南规范</w:t>
      </w:r>
    </w:p>
    <w:p>
      <w:pPr>
        <w:adjustRightInd w:val="0"/>
        <w:snapToGrid w:val="0"/>
        <w:ind w:firstLine="480" w:firstLineChars="200"/>
        <w:rPr>
          <w:rFonts w:ascii="宋体" w:hAnsi="宋体" w:cs="宋体"/>
          <w:sz w:val="24"/>
        </w:rPr>
      </w:pPr>
      <w:r>
        <w:rPr>
          <w:rFonts w:hint="eastAsia" w:ascii="宋体" w:hAnsi="宋体" w:cs="宋体"/>
          <w:sz w:val="24"/>
        </w:rPr>
        <w:t> GB/T28435-2012 地面数字电视广播发射机技术要求和测量方法</w:t>
      </w:r>
    </w:p>
    <w:p>
      <w:pPr>
        <w:adjustRightInd w:val="0"/>
        <w:snapToGrid w:val="0"/>
        <w:ind w:firstLine="480" w:firstLineChars="200"/>
        <w:rPr>
          <w:rFonts w:ascii="宋体" w:hAnsi="宋体" w:cs="宋体"/>
          <w:sz w:val="24"/>
        </w:rPr>
      </w:pPr>
      <w:r>
        <w:rPr>
          <w:rFonts w:hint="eastAsia" w:ascii="宋体" w:hAnsi="宋体" w:cs="宋体"/>
          <w:sz w:val="24"/>
        </w:rPr>
        <w:t> GB/T28436-2012 地面数字电视广播激励器技术要求和测量方法</w:t>
      </w:r>
    </w:p>
    <w:p>
      <w:pPr>
        <w:adjustRightInd w:val="0"/>
        <w:snapToGrid w:val="0"/>
        <w:ind w:firstLine="480" w:firstLineChars="200"/>
        <w:rPr>
          <w:rFonts w:ascii="宋体" w:hAnsi="宋体" w:cs="宋体"/>
          <w:sz w:val="24"/>
        </w:rPr>
      </w:pPr>
      <w:r>
        <w:rPr>
          <w:rFonts w:hint="eastAsia" w:ascii="宋体" w:hAnsi="宋体" w:cs="宋体"/>
          <w:sz w:val="24"/>
        </w:rPr>
        <w:t> GB/T28437-2012 地面数字电视广播监测技术规程</w:t>
      </w:r>
    </w:p>
    <w:p>
      <w:pPr>
        <w:adjustRightInd w:val="0"/>
        <w:snapToGrid w:val="0"/>
        <w:ind w:firstLine="480" w:firstLineChars="200"/>
        <w:rPr>
          <w:rFonts w:ascii="宋体" w:hAnsi="宋体" w:cs="宋体"/>
          <w:sz w:val="24"/>
        </w:rPr>
      </w:pPr>
    </w:p>
    <w:p>
      <w:pPr>
        <w:adjustRightInd w:val="0"/>
        <w:snapToGrid w:val="0"/>
        <w:ind w:firstLine="482" w:firstLineChars="200"/>
        <w:rPr>
          <w:rFonts w:ascii="宋体" w:hAnsi="宋体" w:cs="宋体"/>
          <w:b/>
          <w:bCs/>
          <w:sz w:val="24"/>
        </w:rPr>
      </w:pPr>
      <w:r>
        <w:rPr>
          <w:rFonts w:hint="eastAsia" w:ascii="宋体" w:hAnsi="宋体" w:cs="宋体"/>
          <w:b/>
          <w:bCs/>
          <w:sz w:val="24"/>
        </w:rPr>
        <w:t>四、此建设项目在系统建设时应遵循以下原则：</w:t>
      </w:r>
    </w:p>
    <w:p>
      <w:pPr>
        <w:adjustRightInd w:val="0"/>
        <w:snapToGrid w:val="0"/>
        <w:ind w:firstLine="480" w:firstLineChars="200"/>
        <w:rPr>
          <w:rFonts w:ascii="宋体" w:hAnsi="宋体" w:cs="宋体"/>
          <w:sz w:val="24"/>
        </w:rPr>
      </w:pPr>
      <w:r>
        <w:rPr>
          <w:rFonts w:ascii="宋体" w:hAnsi="宋体" w:cs="宋体"/>
          <w:sz w:val="24"/>
        </w:rPr>
        <w:t>1</w:t>
      </w:r>
      <w:r>
        <w:rPr>
          <w:rFonts w:hint="eastAsia" w:ascii="宋体" w:hAnsi="宋体" w:cs="宋体"/>
          <w:sz w:val="24"/>
        </w:rPr>
        <w:t>、合法性原则</w:t>
      </w:r>
    </w:p>
    <w:p>
      <w:pPr>
        <w:adjustRightInd w:val="0"/>
        <w:snapToGrid w:val="0"/>
        <w:ind w:firstLine="480" w:firstLineChars="200"/>
        <w:rPr>
          <w:rFonts w:ascii="宋体" w:hAnsi="宋体" w:cs="宋体"/>
          <w:sz w:val="24"/>
        </w:rPr>
      </w:pPr>
      <w:r>
        <w:rPr>
          <w:rFonts w:hint="eastAsia" w:ascii="宋体" w:hAnsi="宋体" w:cs="宋体"/>
          <w:sz w:val="24"/>
        </w:rPr>
        <w:t>系统包含的一切硬件、软件所涉及的专利权、著作权、注册商标权或其它任何知识产权必须是投标人的合法权益。</w:t>
      </w:r>
    </w:p>
    <w:p>
      <w:pPr>
        <w:adjustRightInd w:val="0"/>
        <w:snapToGrid w:val="0"/>
        <w:ind w:firstLine="480" w:firstLineChars="200"/>
        <w:rPr>
          <w:rFonts w:ascii="宋体" w:hAnsi="宋体" w:cs="宋体"/>
          <w:sz w:val="24"/>
        </w:rPr>
      </w:pPr>
      <w:r>
        <w:rPr>
          <w:rFonts w:ascii="宋体" w:hAnsi="宋体" w:cs="宋体"/>
          <w:sz w:val="24"/>
        </w:rPr>
        <w:t>2</w:t>
      </w:r>
      <w:r>
        <w:rPr>
          <w:rFonts w:hint="eastAsia" w:ascii="宋体" w:hAnsi="宋体" w:cs="宋体"/>
          <w:sz w:val="24"/>
        </w:rPr>
        <w:t>、针对性原则</w:t>
      </w:r>
    </w:p>
    <w:p>
      <w:pPr>
        <w:adjustRightInd w:val="0"/>
        <w:snapToGrid w:val="0"/>
        <w:ind w:firstLine="480" w:firstLineChars="200"/>
        <w:rPr>
          <w:rFonts w:ascii="宋体" w:hAnsi="宋体" w:cs="宋体"/>
          <w:sz w:val="24"/>
        </w:rPr>
      </w:pPr>
      <w:r>
        <w:rPr>
          <w:rFonts w:hint="eastAsia" w:ascii="宋体" w:hAnsi="宋体" w:cs="宋体"/>
          <w:sz w:val="24"/>
        </w:rPr>
        <w:t>针对用户的实际需求特点进行方案设计，最大限度满足用户的使用、管理需求。</w:t>
      </w:r>
    </w:p>
    <w:p>
      <w:pPr>
        <w:adjustRightInd w:val="0"/>
        <w:snapToGrid w:val="0"/>
        <w:ind w:firstLine="480" w:firstLineChars="200"/>
        <w:rPr>
          <w:rFonts w:ascii="宋体" w:hAnsi="宋体" w:cs="宋体"/>
          <w:sz w:val="24"/>
        </w:rPr>
      </w:pPr>
      <w:r>
        <w:rPr>
          <w:rFonts w:ascii="宋体" w:hAnsi="宋体" w:cs="宋体"/>
          <w:sz w:val="24"/>
        </w:rPr>
        <w:t>3</w:t>
      </w:r>
      <w:r>
        <w:rPr>
          <w:rFonts w:hint="eastAsia" w:ascii="宋体" w:hAnsi="宋体" w:cs="宋体"/>
          <w:sz w:val="24"/>
        </w:rPr>
        <w:t>、技术先进性原则</w:t>
      </w:r>
    </w:p>
    <w:p>
      <w:pPr>
        <w:adjustRightInd w:val="0"/>
        <w:snapToGrid w:val="0"/>
        <w:ind w:firstLine="480" w:firstLineChars="200"/>
        <w:rPr>
          <w:rFonts w:ascii="宋体" w:hAnsi="宋体" w:cs="宋体"/>
          <w:sz w:val="24"/>
        </w:rPr>
      </w:pPr>
      <w:r>
        <w:rPr>
          <w:rFonts w:hint="eastAsia" w:ascii="宋体" w:hAnsi="宋体" w:cs="宋体"/>
          <w:sz w:val="24"/>
        </w:rPr>
        <w:t>进行系统设计时，应考虑系统在技术上的领先性，技术领先的系统在相当长时间内可保证不被淘汰，代表技术方面的发展主流，投资在相当长时间内得到有效地利用。</w:t>
      </w:r>
    </w:p>
    <w:p>
      <w:pPr>
        <w:adjustRightInd w:val="0"/>
        <w:snapToGrid w:val="0"/>
        <w:ind w:firstLine="480" w:firstLineChars="200"/>
        <w:rPr>
          <w:rFonts w:ascii="宋体" w:hAnsi="宋体" w:cs="宋体"/>
          <w:sz w:val="24"/>
        </w:rPr>
      </w:pPr>
      <w:r>
        <w:rPr>
          <w:rFonts w:ascii="宋体" w:hAnsi="宋体" w:cs="宋体"/>
          <w:sz w:val="24"/>
        </w:rPr>
        <w:t>4</w:t>
      </w:r>
      <w:r>
        <w:rPr>
          <w:rFonts w:hint="eastAsia" w:ascii="宋体" w:hAnsi="宋体" w:cs="宋体"/>
          <w:sz w:val="24"/>
        </w:rPr>
        <w:t>、技术成熟性原则</w:t>
      </w:r>
    </w:p>
    <w:p>
      <w:pPr>
        <w:adjustRightInd w:val="0"/>
        <w:snapToGrid w:val="0"/>
        <w:ind w:firstLine="480" w:firstLineChars="200"/>
        <w:rPr>
          <w:rFonts w:ascii="宋体" w:hAnsi="宋体" w:cs="宋体"/>
          <w:sz w:val="24"/>
        </w:rPr>
      </w:pPr>
      <w:r>
        <w:rPr>
          <w:rFonts w:hint="eastAsia" w:ascii="宋体" w:hAnsi="宋体" w:cs="宋体"/>
          <w:sz w:val="24"/>
        </w:rPr>
        <w:t>在考虑技术先进性时，一定要考虑技术的成熟性，系统设计的总体原则是“先进实用、好用、够用”。采用当前技术成熟的产品，以保证系统的稳定运行，保证使用者随时使用。</w:t>
      </w:r>
    </w:p>
    <w:p>
      <w:pPr>
        <w:adjustRightInd w:val="0"/>
        <w:snapToGrid w:val="0"/>
        <w:ind w:firstLine="480" w:firstLineChars="200"/>
        <w:rPr>
          <w:rFonts w:ascii="宋体" w:hAnsi="宋体" w:cs="宋体"/>
          <w:sz w:val="24"/>
        </w:rPr>
      </w:pPr>
    </w:p>
    <w:p>
      <w:pPr>
        <w:adjustRightInd w:val="0"/>
        <w:snapToGrid w:val="0"/>
        <w:ind w:firstLine="480" w:firstLineChars="200"/>
        <w:rPr>
          <w:rFonts w:ascii="宋体" w:hAnsi="宋体" w:cs="宋体"/>
          <w:sz w:val="24"/>
        </w:rPr>
        <w:sectPr>
          <w:pgSz w:w="11906" w:h="16838"/>
          <w:pgMar w:top="1440" w:right="1800" w:bottom="1440" w:left="1800" w:header="851" w:footer="992" w:gutter="0"/>
          <w:cols w:space="425" w:num="1"/>
          <w:docGrid w:type="lines" w:linePitch="312" w:charSpace="0"/>
        </w:sectPr>
      </w:pPr>
    </w:p>
    <w:p>
      <w:pPr>
        <w:ind w:left="422"/>
        <w:rPr>
          <w:rFonts w:ascii="宋体" w:hAnsi="宋体" w:cs="宋体"/>
          <w:b/>
          <w:bCs/>
          <w:sz w:val="24"/>
        </w:rPr>
      </w:pPr>
      <w:r>
        <w:rPr>
          <w:rFonts w:hint="eastAsia" w:ascii="宋体" w:hAnsi="宋体" w:cs="宋体"/>
          <w:b/>
          <w:bCs/>
          <w:sz w:val="24"/>
        </w:rPr>
        <w:t>五、设备配置要求</w:t>
      </w:r>
    </w:p>
    <w:tbl>
      <w:tblPr>
        <w:tblStyle w:val="18"/>
        <w:tblW w:w="8613"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66"/>
        <w:gridCol w:w="151"/>
        <w:gridCol w:w="1136"/>
        <w:gridCol w:w="127"/>
        <w:gridCol w:w="4919"/>
        <w:gridCol w:w="601"/>
        <w:gridCol w:w="92"/>
        <w:gridCol w:w="564"/>
        <w:gridCol w:w="5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8613" w:type="dxa"/>
            <w:gridSpan w:val="9"/>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b/>
                <w:bCs/>
                <w:sz w:val="24"/>
              </w:rPr>
              <w:t>在线教育教学资源研发中心实验室建设项目主要</w:t>
            </w:r>
            <w:r>
              <w:rPr>
                <w:rFonts w:hint="eastAsia" w:cs="宋体" w:asciiTheme="minorEastAsia" w:hAnsiTheme="minorEastAsia"/>
                <w:b/>
                <w:bCs/>
                <w:color w:val="000000"/>
                <w:kern w:val="0"/>
                <w:sz w:val="24"/>
              </w:rPr>
              <w:t>设备参数要求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8613" w:type="dxa"/>
            <w:gridSpan w:val="9"/>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第一部分 虚拟绿箱及装修部分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0" w:hRule="atLeast"/>
        </w:trPr>
        <w:tc>
          <w:tcPr>
            <w:tcW w:w="466" w:type="dxa"/>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1414" w:type="dxa"/>
            <w:gridSpan w:val="3"/>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项目名称</w:t>
            </w:r>
          </w:p>
        </w:tc>
        <w:tc>
          <w:tcPr>
            <w:tcW w:w="5520" w:type="dxa"/>
            <w:gridSpan w:val="2"/>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型号参数</w:t>
            </w:r>
          </w:p>
        </w:tc>
        <w:tc>
          <w:tcPr>
            <w:tcW w:w="652" w:type="dxa"/>
            <w:gridSpan w:val="2"/>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数量</w:t>
            </w:r>
          </w:p>
        </w:tc>
        <w:tc>
          <w:tcPr>
            <w:tcW w:w="561" w:type="dxa"/>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断桥铝玻璃隔断</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1.型材宽度不低于83mm</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2.龙骨规格83*45mm龙骨壁厚不低于1.8mm</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3.天地规格83*45mm</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4.钢化玻璃5+5内置百叶</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主材品牌：玻璃原片推荐品牌南玻、台玻、信义等同等品质品牌</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561"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玻璃门</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定制钢化玻璃门、含五金配件</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玻璃原片推荐品牌南玻、台玻、信义等同等品质品牌</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414" w:type="dxa"/>
            <w:gridSpan w:val="3"/>
            <w:shd w:val="clear" w:color="auto" w:fill="FFFFFF"/>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新建隔断墙</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单层100轻钢龙骨基层@400mm，轻钢与墙、地面连接处采用隔音棉毡，避免钢性连接；填充5cm隔音岩棉板，外包玻璃丝布；双面单层9.5mm石膏板封实，黏贴带粘缝处理；形成墙体房中房隔声空腔结构层</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主材推荐品牌：石膏板，泰山、龙牌、圣戈班</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561"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414" w:type="dxa"/>
            <w:gridSpan w:val="3"/>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2"/>
                <w:szCs w:val="22"/>
              </w:rPr>
              <w:t>墙体隔声龙骨基层</w:t>
            </w:r>
          </w:p>
        </w:tc>
        <w:tc>
          <w:tcPr>
            <w:tcW w:w="5520" w:type="dxa"/>
            <w:gridSpan w:val="2"/>
            <w:vMerge w:val="restart"/>
            <w:shd w:val="clear" w:color="auto" w:fill="auto"/>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C75轻钢龙骨框架@300mm，轻钢与墙预留声学空腔、填充5cm隔音岩棉板，外包玻璃丝布；双面单层9.5mm石膏板封实，；形成墙体房中房隔声空腔结构层</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主材推荐品牌：石膏板，泰山、龙牌、圣戈班</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561"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466"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4" w:type="dxa"/>
            <w:gridSpan w:val="3"/>
            <w:shd w:val="clear" w:color="auto" w:fill="auto"/>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隔音棉</w:t>
            </w:r>
          </w:p>
        </w:tc>
        <w:tc>
          <w:tcPr>
            <w:tcW w:w="5520" w:type="dxa"/>
            <w:gridSpan w:val="2"/>
            <w:vMerge w:val="continue"/>
            <w:shd w:val="clear" w:color="auto" w:fill="auto"/>
            <w:vAlign w:val="center"/>
          </w:tcPr>
          <w:p>
            <w:pPr>
              <w:widowControl/>
              <w:jc w:val="left"/>
              <w:textAlignment w:val="center"/>
              <w:rPr>
                <w:rFonts w:ascii="宋体" w:hAnsi="宋体" w:cs="宋体"/>
                <w:b w:val="0"/>
                <w:bCs w:val="0"/>
                <w:color w:val="auto"/>
                <w:kern w:val="0"/>
                <w:sz w:val="22"/>
                <w:szCs w:val="22"/>
              </w:rPr>
            </w:pP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561"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466"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14" w:type="dxa"/>
            <w:gridSpan w:val="3"/>
            <w:shd w:val="clear" w:color="auto" w:fill="auto"/>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隔声层石膏板封面</w:t>
            </w:r>
          </w:p>
        </w:tc>
        <w:tc>
          <w:tcPr>
            <w:tcW w:w="5520" w:type="dxa"/>
            <w:gridSpan w:val="2"/>
            <w:vMerge w:val="continue"/>
            <w:shd w:val="clear" w:color="auto" w:fill="auto"/>
            <w:vAlign w:val="center"/>
          </w:tcPr>
          <w:p>
            <w:pPr>
              <w:widowControl/>
              <w:jc w:val="left"/>
              <w:textAlignment w:val="center"/>
              <w:rPr>
                <w:rFonts w:ascii="宋体" w:hAnsi="宋体" w:cs="宋体"/>
                <w:b w:val="0"/>
                <w:bCs w:val="0"/>
                <w:color w:val="auto"/>
                <w:kern w:val="0"/>
                <w:sz w:val="22"/>
                <w:szCs w:val="22"/>
              </w:rPr>
            </w:pP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561"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466"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414" w:type="dxa"/>
            <w:gridSpan w:val="3"/>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吸音结构背板支架</w:t>
            </w:r>
          </w:p>
        </w:tc>
        <w:tc>
          <w:tcPr>
            <w:tcW w:w="5520" w:type="dxa"/>
            <w:gridSpan w:val="2"/>
            <w:shd w:val="clear" w:color="auto" w:fill="FFFFFF"/>
            <w:vAlign w:val="center"/>
          </w:tcPr>
          <w:p>
            <w:pPr>
              <w:widowControl/>
              <w:tabs>
                <w:tab w:val="left" w:pos="312"/>
              </w:tabs>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龙骨材料种类、规格、中距：26mm×36mm木龙骨，木龙骨刷防火涂料三遍</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61" w:type="dxa"/>
            <w:shd w:val="clear" w:color="auto" w:fill="FFFFFF"/>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8" w:hRule="atLeast"/>
        </w:trPr>
        <w:tc>
          <w:tcPr>
            <w:tcW w:w="466"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14" w:type="dxa"/>
            <w:gridSpan w:val="3"/>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吸音棉</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隔离层材料种类、规格：30mm吸音卷棉</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品牌：富凯、汇多丽、坤耐</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61" w:type="dxa"/>
            <w:shd w:val="clear" w:color="auto" w:fill="FFFFFF"/>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466" w:type="dxa"/>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414" w:type="dxa"/>
            <w:gridSpan w:val="3"/>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聚酯纤维吸音板</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降噪系</w:t>
            </w:r>
            <w:r>
              <w:rPr>
                <w:rFonts w:hint="eastAsia" w:ascii="宋体" w:hAnsi="宋体" w:cs="宋体"/>
                <w:b w:val="0"/>
                <w:bCs w:val="0"/>
                <w:color w:val="auto"/>
                <w:kern w:val="0"/>
                <w:sz w:val="22"/>
                <w:szCs w:val="22"/>
                <w:highlight w:val="none"/>
              </w:rPr>
              <w:t>数NRC≥0.95，阻燃防火，中高频声音高效吸音体</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品牌：润声、汇多丽、坤耐</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61" w:type="dxa"/>
            <w:shd w:val="clear" w:color="auto" w:fill="FFFFFF"/>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8" w:hRule="atLeast"/>
        </w:trPr>
        <w:tc>
          <w:tcPr>
            <w:tcW w:w="466" w:type="dxa"/>
            <w:shd w:val="clear" w:color="auto" w:fill="FFFFFF"/>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4" w:type="dxa"/>
            <w:gridSpan w:val="3"/>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隔音门</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1.定制专业成品钢制隔音门；</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2.规格：2050*900。</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3.隔声量（插入损dB）：&gt;45；</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4.缝隙灌满水泥砂浆密封。国家E1级环保标准。</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品牌：声筑</w:t>
            </w:r>
          </w:p>
        </w:tc>
        <w:tc>
          <w:tcPr>
            <w:tcW w:w="652" w:type="dxa"/>
            <w:gridSpan w:val="2"/>
            <w:shd w:val="clear" w:color="auto" w:fill="FFFFFF"/>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61" w:type="dxa"/>
            <w:shd w:val="clear" w:color="auto" w:fill="FFFFFF"/>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墙体刷白</w:t>
            </w:r>
          </w:p>
        </w:tc>
        <w:tc>
          <w:tcPr>
            <w:tcW w:w="5520" w:type="dxa"/>
            <w:gridSpan w:val="2"/>
            <w:shd w:val="clear" w:color="auto" w:fill="FFFFFF"/>
            <w:noWrap/>
            <w:vAlign w:val="center"/>
          </w:tcPr>
          <w:p>
            <w:pPr>
              <w:widowControl/>
              <w:tabs>
                <w:tab w:val="left" w:pos="312"/>
              </w:tabs>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1.石膏嵌缝，螺丝钉眼防锈处理；</w:t>
            </w:r>
          </w:p>
          <w:p>
            <w:pPr>
              <w:widowControl/>
              <w:tabs>
                <w:tab w:val="left" w:pos="312"/>
              </w:tabs>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2.腻子批刮找平二遍；</w:t>
            </w:r>
          </w:p>
          <w:p>
            <w:pPr>
              <w:widowControl/>
              <w:tabs>
                <w:tab w:val="left" w:pos="312"/>
              </w:tabs>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3.砂纸打磨找平；</w:t>
            </w:r>
          </w:p>
          <w:p>
            <w:pPr>
              <w:widowControl/>
              <w:tabs>
                <w:tab w:val="left" w:pos="312"/>
              </w:tabs>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4.立邦净味120乳胶漆均匀涂刷三遍；</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乳胶漆推荐品牌：立邦、多乐士、嘉宝莉</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顶面承重钢结构</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1.50*100*2.5mm方钢钢主梁</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2.40*60*2.0mm方钢副梁</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3.6+6夹胶钢化玻璃</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玻璃原片推荐品牌南玻、台玻、信义等同等品质品牌</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演播室吊顶隔音处理</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1.吊顶50主龙骨间距小于1000mm；                                                              </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2.采用直径为8mm通丝吊杆；                                                                                     </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3.采用8#焊接到钢结构；                                                                                    </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4.轻钢龙骨框架                                                                                                            </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5.泰山石膏板封实规格：1200*2400*9.5MM                                                                         </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6.隔音棉环保级别：E1产品特性：基材阻燃A2                                                      </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7.基材：高密度聚酯纤维板；</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8.防火性能：符合国家标准GB8624-B1级要求；</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9.降噪系数</w:t>
            </w:r>
            <w:r>
              <w:rPr>
                <w:rFonts w:hint="eastAsia" w:ascii="宋体" w:hAnsi="宋体" w:cs="宋体"/>
                <w:b w:val="0"/>
                <w:bCs w:val="0"/>
                <w:color w:val="auto"/>
                <w:kern w:val="0"/>
                <w:sz w:val="22"/>
                <w:szCs w:val="22"/>
                <w:highlight w:val="none"/>
              </w:rPr>
              <w:t>：NRC≥0.9</w:t>
            </w:r>
            <w:r>
              <w:rPr>
                <w:rFonts w:hint="eastAsia" w:ascii="宋体" w:hAnsi="宋体" w:cs="宋体"/>
                <w:b w:val="0"/>
                <w:bCs w:val="0"/>
                <w:color w:val="auto"/>
                <w:kern w:val="0"/>
                <w:sz w:val="22"/>
                <w:szCs w:val="22"/>
              </w:rPr>
              <w:t>5，阻燃防火，全频吸音体；</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10.具体施工内容及要求根据设计要求确定  </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 xml:space="preserve">品牌：泰山、润声   </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会议室、过道吊顶处理</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1.吊顶形式、吊杆规格、高度：不上人吊顶、Φ8全牙螺杆吊筋</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2.龙骨材料种类、规格、中距：矿棉板吊顶配套龙骨</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3.面层材料品种、规格：600*600矿棉板吊顶</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品牌：泰山、龙牌、可耐福</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6"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窗帘盒</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天棚φ8mm全丝杆吊筋\主龙骨（50系列不上人）中心间距&lt;1200mm\阻燃板\双层石膏板\展宽500mm以内</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阻燃板推荐品牌品牌：莫干山、兔宝宝、千年舟</w:t>
            </w:r>
          </w:p>
        </w:tc>
        <w:tc>
          <w:tcPr>
            <w:tcW w:w="652" w:type="dxa"/>
            <w:gridSpan w:val="2"/>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吸音窗帘</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遮光、吸音窗帘，含安装五金配件</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品牌：定制</w:t>
            </w:r>
          </w:p>
        </w:tc>
        <w:tc>
          <w:tcPr>
            <w:tcW w:w="652" w:type="dxa"/>
            <w:gridSpan w:val="2"/>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塑胶地板</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基层清理、平整\找平层基础上做专业PVC地板水泥自流平3.0厚\2.0厚塑胶地板耐磨易清洁</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品牌：TCL、阿姆斯壮、洁福</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0"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虚拟绿箱</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名称：抠像区</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1.规格参数用进口演播室专用绿抠象漆ROSCO 5710、5711蓝绿抠像漆；</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标准电视影视颜漆，采用水溶性环保原料</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2.蓝绿墙面基层材料：轻钢龙骨骨架，双层9.5mm纸面石膏板</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3.防开裂处理：专业填缝剂对缝隙添堵，牛皮纸处理缝隙，白乳胶粘接</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4.漆面要求：厚度: 2密耳干膜</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5.包装规格: 1加仑(约3.785L)</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6.VOC含量:≤50g/L</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7.重量:约5.42Kg</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8.覆盖率: 300平方英尺/1加仑</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9.粘合剂类型:水性乙烯丙烯酸脂</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10.晾干时间:在75°F (249C)温度下</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11.30分钟指触干,2~3小时内可重涂</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12.颜色规格:5710、5711</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品牌：ROSCO</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抠像地胶</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1.材质：乙烯塑料</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2.厚度：1.3毫米，宽度：1.48米，长度可定制。</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3.耐磨,耐踩,不反光,易维护直接用抹布,或干净拖把托。直接铺到蓝箱或绿箱地面,不会出现皱纹。</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品牌：华信</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8613" w:type="dxa"/>
            <w:gridSpan w:val="9"/>
            <w:shd w:val="clear" w:color="auto" w:fill="FFFFFF"/>
            <w:noWrap/>
            <w:vAlign w:val="center"/>
          </w:tcPr>
          <w:p>
            <w:pPr>
              <w:widowControl/>
              <w:jc w:val="center"/>
              <w:textAlignment w:val="center"/>
              <w:rPr>
                <w:rFonts w:ascii="宋体" w:hAnsi="宋体" w:cs="宋体"/>
                <w:b w:val="0"/>
                <w:bCs w:val="0"/>
                <w:color w:val="auto"/>
                <w:sz w:val="24"/>
              </w:rPr>
            </w:pPr>
            <w:r>
              <w:rPr>
                <w:rFonts w:hint="eastAsia" w:ascii="宋体" w:hAnsi="宋体" w:cs="宋体"/>
                <w:b w:val="0"/>
                <w:bCs w:val="0"/>
                <w:color w:val="auto"/>
                <w:kern w:val="0"/>
                <w:sz w:val="24"/>
              </w:rPr>
              <w:t>第二部分 审片室、制作室改造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吊顶</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1.吊顶形式、吊杆规格、高度：不上人吊顶、Φ8全牙螺杆吊筋</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2.龙骨材料种类、规格、中距：矿棉板吊顶配套龙骨</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3.面层材料品种、规格：600*600矿棉板吊顶</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品牌：泰山、龙牌、可耐福</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墙面找平修补</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原有墙面修补找平打磨</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品牌：华信、多乐士、立邦</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墙纸</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无纺布环保型壁纸</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品牌：易天彩、爱舍、瑞宝</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电动滚轴</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三轴3米电动背景，手动、遥控两用控制，含6米背景布颜色可选；</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品牌：华信</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6"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窗帘盒</w:t>
            </w:r>
          </w:p>
        </w:tc>
        <w:tc>
          <w:tcPr>
            <w:tcW w:w="5520" w:type="dxa"/>
            <w:gridSpan w:val="2"/>
            <w:shd w:val="clear" w:color="auto" w:fill="FFFFFF"/>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天棚φ8mm全丝杆吊筋\主龙骨（50系列不上人）中心间距&lt;1200mm\阻燃板\双层石膏板\展宽500mm以内</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品牌：华信</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遮光窗帘</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窗帘，含安装五金配件</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品牌：定制</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0"/>
                <w:szCs w:val="20"/>
              </w:rPr>
              <w:t>M</w:t>
            </w:r>
            <w:r>
              <w:rPr>
                <w:rStyle w:val="53"/>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8613" w:type="dxa"/>
            <w:gridSpan w:val="9"/>
            <w:shd w:val="clear" w:color="auto" w:fill="FFFFFF"/>
            <w:noWrap/>
            <w:vAlign w:val="center"/>
          </w:tcPr>
          <w:p>
            <w:pPr>
              <w:widowControl/>
              <w:jc w:val="center"/>
              <w:textAlignment w:val="center"/>
              <w:rPr>
                <w:rFonts w:ascii="宋体" w:hAnsi="宋体" w:cs="宋体"/>
                <w:b w:val="0"/>
                <w:bCs w:val="0"/>
                <w:color w:val="auto"/>
                <w:sz w:val="24"/>
              </w:rPr>
            </w:pPr>
            <w:r>
              <w:rPr>
                <w:rFonts w:hint="eastAsia" w:ascii="宋体" w:hAnsi="宋体" w:cs="宋体"/>
                <w:b w:val="0"/>
                <w:bCs w:val="0"/>
                <w:color w:val="auto"/>
                <w:kern w:val="0"/>
                <w:sz w:val="24"/>
              </w:rPr>
              <w:t>第三部分 电气及其它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照明灯</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300*600欧普格栅照明灯</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品牌：欧普、雷士、飞利浦</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开关</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1.安装高度离地1.3m，开关边缘距门框距离宜为0.15~0.2m；</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2.外形尺寸：86mm×86mm；</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3.产品材质：德国高分子PC；</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4.安装孔距：60mm-65mm；</w:t>
            </w:r>
          </w:p>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5.铜片接插件厚重固定牢固。</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品牌：欧普、TCL、公牛</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电源墙插地插</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五孔铜地插、根据设备需求合理分布</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品牌：梅兰日兰、TCL、公牛</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6"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电路改造</w:t>
            </w:r>
          </w:p>
        </w:tc>
        <w:tc>
          <w:tcPr>
            <w:tcW w:w="5520" w:type="dxa"/>
            <w:gridSpan w:val="2"/>
            <w:shd w:val="clear" w:color="auto" w:fill="FFFFFF"/>
            <w:noWrap/>
            <w:vAlign w:val="center"/>
          </w:tcPr>
          <w:p>
            <w:pPr>
              <w:widowControl/>
              <w:jc w:val="left"/>
              <w:textAlignment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开槽预埋，所有布线均敷设穿线管，按需分布</w:t>
            </w:r>
          </w:p>
          <w:p>
            <w:pPr>
              <w:widowControl/>
              <w:jc w:val="left"/>
              <w:textAlignment w:val="center"/>
              <w:rPr>
                <w:rFonts w:ascii="宋体" w:hAnsi="宋体" w:cs="宋体"/>
                <w:b w:val="0"/>
                <w:bCs w:val="0"/>
                <w:color w:val="auto"/>
                <w:sz w:val="22"/>
                <w:szCs w:val="22"/>
              </w:rPr>
            </w:pPr>
            <w:r>
              <w:rPr>
                <w:rFonts w:hint="eastAsia" w:ascii="宋体" w:hAnsi="宋体" w:cs="宋体"/>
                <w:b w:val="0"/>
                <w:bCs w:val="0"/>
                <w:color w:val="auto"/>
                <w:kern w:val="0"/>
                <w:sz w:val="22"/>
                <w:szCs w:val="22"/>
              </w:rPr>
              <w:t>品牌：远东、江南、宝胜</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控制电源箱</w:t>
            </w:r>
          </w:p>
        </w:tc>
        <w:tc>
          <w:tcPr>
            <w:tcW w:w="5520" w:type="dxa"/>
            <w:gridSpan w:val="2"/>
            <w:shd w:val="clear" w:color="auto" w:fill="FFFFFF"/>
            <w:noWrap/>
            <w:vAlign w:val="center"/>
          </w:tcPr>
          <w:p>
            <w:pPr>
              <w:widowControl/>
              <w:jc w:val="left"/>
              <w:textAlignment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开槽预埋，空气开关按需求定制安装</w:t>
            </w:r>
          </w:p>
          <w:p>
            <w:pPr>
              <w:widowControl/>
              <w:jc w:val="left"/>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品牌：定制</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原有吊顶拆除</w:t>
            </w:r>
          </w:p>
        </w:tc>
        <w:tc>
          <w:tcPr>
            <w:tcW w:w="5520" w:type="dxa"/>
            <w:gridSpan w:val="2"/>
            <w:shd w:val="clear" w:color="auto" w:fill="FFFFFF"/>
            <w:noWrap/>
            <w:vAlign w:val="center"/>
          </w:tcPr>
          <w:p>
            <w:pPr>
              <w:widowControl/>
              <w:jc w:val="left"/>
              <w:textAlignment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原有装修吊顶、墙面铲墙皮、垃圾清运</w:t>
            </w:r>
          </w:p>
          <w:p>
            <w:pPr>
              <w:widowControl/>
              <w:jc w:val="left"/>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品牌：定制</w:t>
            </w: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414" w:type="dxa"/>
            <w:gridSpan w:val="3"/>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人工费</w:t>
            </w:r>
          </w:p>
        </w:tc>
        <w:tc>
          <w:tcPr>
            <w:tcW w:w="5520" w:type="dxa"/>
            <w:gridSpan w:val="2"/>
            <w:shd w:val="clear" w:color="auto" w:fill="FFFFFF"/>
            <w:noWrap/>
            <w:vAlign w:val="center"/>
          </w:tcPr>
          <w:p>
            <w:pPr>
              <w:jc w:val="center"/>
              <w:rPr>
                <w:rFonts w:ascii="宋体" w:hAnsi="宋体" w:cs="宋体"/>
                <w:b w:val="0"/>
                <w:bCs w:val="0"/>
                <w:color w:val="000000"/>
                <w:sz w:val="22"/>
                <w:szCs w:val="22"/>
              </w:rPr>
            </w:pPr>
          </w:p>
        </w:tc>
        <w:tc>
          <w:tcPr>
            <w:tcW w:w="652" w:type="dxa"/>
            <w:gridSpan w:val="2"/>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61" w:type="dxa"/>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466" w:type="dxa"/>
            <w:shd w:val="clear" w:color="auto" w:fill="auto"/>
            <w:noWrap/>
            <w:vAlign w:val="center"/>
          </w:tcPr>
          <w:p>
            <w:pPr>
              <w:jc w:val="center"/>
              <w:rPr>
                <w:rFonts w:ascii="宋体" w:hAnsi="宋体" w:cs="宋体"/>
                <w:color w:val="000000"/>
                <w:sz w:val="22"/>
                <w:szCs w:val="22"/>
              </w:rPr>
            </w:pPr>
          </w:p>
        </w:tc>
        <w:tc>
          <w:tcPr>
            <w:tcW w:w="1414" w:type="dxa"/>
            <w:gridSpan w:val="3"/>
            <w:shd w:val="clear" w:color="auto" w:fill="auto"/>
            <w:noWrap/>
            <w:vAlign w:val="center"/>
          </w:tcPr>
          <w:p>
            <w:pPr>
              <w:rPr>
                <w:rFonts w:ascii="宋体" w:hAnsi="宋体" w:cs="宋体"/>
                <w:color w:val="000000"/>
                <w:sz w:val="22"/>
                <w:szCs w:val="22"/>
              </w:rPr>
            </w:pPr>
          </w:p>
        </w:tc>
        <w:tc>
          <w:tcPr>
            <w:tcW w:w="5520" w:type="dxa"/>
            <w:gridSpan w:val="2"/>
            <w:shd w:val="clear" w:color="auto" w:fill="auto"/>
            <w:noWrap/>
            <w:vAlign w:val="center"/>
          </w:tcPr>
          <w:p>
            <w:pPr>
              <w:rPr>
                <w:rFonts w:ascii="宋体" w:hAnsi="宋体" w:cs="宋体"/>
                <w:color w:val="000000"/>
                <w:sz w:val="22"/>
                <w:szCs w:val="22"/>
              </w:rPr>
            </w:pPr>
          </w:p>
        </w:tc>
        <w:tc>
          <w:tcPr>
            <w:tcW w:w="652" w:type="dxa"/>
            <w:gridSpan w:val="2"/>
            <w:shd w:val="clear" w:color="auto" w:fill="auto"/>
            <w:noWrap/>
            <w:vAlign w:val="center"/>
          </w:tcPr>
          <w:p>
            <w:pPr>
              <w:jc w:val="center"/>
              <w:rPr>
                <w:rFonts w:ascii="宋体" w:hAnsi="宋体" w:cs="宋体"/>
                <w:color w:val="000000"/>
                <w:sz w:val="22"/>
                <w:szCs w:val="22"/>
              </w:rPr>
            </w:pPr>
          </w:p>
        </w:tc>
        <w:tc>
          <w:tcPr>
            <w:tcW w:w="561" w:type="dxa"/>
            <w:shd w:val="clear" w:color="auto" w:fill="auto"/>
            <w:noWrap/>
            <w:vAlign w:val="center"/>
          </w:tcPr>
          <w:p>
            <w:pPr>
              <w:rPr>
                <w:rFonts w:ascii="宋体" w:hAnsi="宋体" w:cs="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8613" w:type="dxa"/>
            <w:gridSpan w:val="9"/>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 w:val="24"/>
              </w:rPr>
              <w:t xml:space="preserve">第四部分 </w:t>
            </w:r>
            <w:r>
              <w:rPr>
                <w:rFonts w:hint="eastAsia" w:ascii="宋体" w:hAnsi="宋体" w:cs="宋体"/>
                <w:b/>
                <w:bCs/>
                <w:color w:val="000000"/>
                <w:kern w:val="0"/>
                <w:szCs w:val="21"/>
              </w:rPr>
              <w:t>演播室部分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提词器</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1.所投产品软件必须需厂家提供由国家版权局颁发的“计算机软件著作权登记证书”，支持 64 位提示器软件，以免版权纠纷；</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提示器结构要求重量轻，强度大，可以和摄像机安装于同一三脚架，配合绝大多数摄像机使用，不影响摄像机的常规操作。要求结构轻巧，降低了对云台和三脚架的承重要求；提示器结构支持多处手动调节，可在装配完摄像机和整套提示器后快速调整平衡；</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3.要求提示器采用进口无色差超薄分光镜，厚度2mm；采用多层介质膜镀膜技术，无光损，分光比2：8，保证提示器文稿显示清晰，对摄像机镜头的成像影响最低，可配合现有的高、标清摄像机使用；</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4.要求使用不低于21英寸提示屏，支持VGA、HDMI信号接入；</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5.要求提示器主机为国际知名品牌电脑，售后服务更有保障，使客户更能放心使用。要求主机配置不低于I3/8G/256SSD,支持HDMI/VGA双路输出，支持串口通讯，安装windows操作系统；</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6.要求提示器支持主备系统，主备提示器同时进行工作，文稿播放进度完全同步，提示器控制及显示信号支持主备切换；</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7.每套提示器标配为单机位，也可以支持一拖X的方式，即将提示信号分配后，输出至多个提示屏上，多机位提示器的使用，方便了同一节目中，多位主持人同时使用提示器；</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8.摄像型提示器可单独使用，也可以和其他任意类型的提示器组合成混合型提示器。新闻演播室提示器推稿使用，与微机型提示器组成混合型提示器，可适应不同使用者的需求，并且安全性更高。摄像一体机支持30倍光学变焦，SDI信号输出，具有镜像显示功能，可通过机身按钮或镜头控制器进行变倍、聚焦等操作。</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9.要求配备专业提示器软件，支持编辑屏和主持人提示屏双正像输出，更方便了后台编辑人员和主持人的使用。软件可设置为中、英文界面，支持中文、英文或其他等多种语言文稿显示，字体、字号、字色、底色等可随意设置。要求软件设置快捷、简便，人性化设计，非专业人员也很好掌握；</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10.要求提示器软件支持自定义段落，可对段落设置不同字色，方便男、女主播同时使用；要求软件支持快捷操作，可通过快捷图标按钮快速设置软件并进行提示器播出；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11.要求提示器系统支持虚拟演播室使用，配备多种控制方式，有键盘、鼠标、有线控制手柄、（选配）搜索轮、（选配）无线2.4G遥控等，可以实现文稿的播放、暂停，播放方向、播放速度、上下翻页等多种操作；</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12.要求提示器结构、软件和控制设备选用同一厂家。</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品牌：朗威视讯</w:t>
            </w:r>
          </w:p>
          <w:p>
            <w:pPr>
              <w:widowControl/>
              <w:jc w:val="left"/>
              <w:textAlignment w:val="center"/>
              <w:rPr>
                <w:rFonts w:ascii="宋体" w:hAnsi="宋体" w:cs="宋体"/>
                <w:color w:val="000000"/>
                <w:szCs w:val="21"/>
              </w:rPr>
            </w:pPr>
            <w:r>
              <w:rPr>
                <w:rFonts w:hint="eastAsia" w:ascii="宋体" w:hAnsi="宋体" w:cs="宋体"/>
                <w:color w:val="000000"/>
                <w:kern w:val="0"/>
                <w:szCs w:val="21"/>
              </w:rPr>
              <w:t>型号：LS-21</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三脚架套装</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最高工作高度1800mm，最低工作高度：900mm。最大管径14mm。最大承重16KG。主要材质：铝合金。</w:t>
            </w:r>
          </w:p>
          <w:p>
            <w:pPr>
              <w:widowControl/>
              <w:jc w:val="left"/>
              <w:textAlignment w:val="center"/>
              <w:rPr>
                <w:rFonts w:ascii="宋体" w:hAnsi="宋体" w:cs="宋体"/>
                <w:color w:val="000000"/>
                <w:szCs w:val="21"/>
              </w:rPr>
            </w:pPr>
            <w:r>
              <w:rPr>
                <w:rFonts w:hint="eastAsia" w:ascii="宋体" w:hAnsi="宋体" w:cs="宋体"/>
                <w:color w:val="000000"/>
                <w:kern w:val="0"/>
                <w:szCs w:val="21"/>
              </w:rPr>
              <w:t>品牌：华信</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7"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一拖二无线领夹话筒</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2.4G无线传输技术，采用128位加密，无线连接距离可达200米（无遮挡），含2个发射器和1个接收器，内置可充电锂电池，可使用长达7小时，3.5mmTRS模拟输出、USB-C和ios数字音频输出。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品牌：RODE</w:t>
            </w:r>
          </w:p>
          <w:p>
            <w:pPr>
              <w:widowControl/>
              <w:jc w:val="left"/>
              <w:textAlignment w:val="center"/>
              <w:rPr>
                <w:rFonts w:ascii="宋体" w:hAnsi="宋体" w:cs="宋体"/>
                <w:color w:val="000000"/>
                <w:kern w:val="0"/>
                <w:szCs w:val="21"/>
              </w:rPr>
            </w:pPr>
            <w:r>
              <w:rPr>
                <w:rFonts w:hint="eastAsia" w:ascii="宋体" w:hAnsi="宋体" w:cs="宋体"/>
                <w:color w:val="000000"/>
                <w:kern w:val="0"/>
                <w:sz w:val="22"/>
                <w:szCs w:val="22"/>
              </w:rPr>
              <w:t>型号：Wireless GO II</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监听音箱</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2.0多媒体音箱，喇叭尺寸：4英寸低音单元，13mm高音单元，功率40W,频响范围：30Hz-18KHz，灵敏度：85db，信噪比：75db。</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品牌：漫步者</w:t>
            </w:r>
          </w:p>
          <w:p>
            <w:pPr>
              <w:widowControl/>
              <w:jc w:val="left"/>
              <w:textAlignment w:val="center"/>
              <w:rPr>
                <w:rFonts w:ascii="宋体" w:hAnsi="宋体" w:cs="宋体"/>
                <w:color w:val="000000"/>
                <w:kern w:val="0"/>
                <w:szCs w:val="21"/>
              </w:rPr>
            </w:pPr>
            <w:r>
              <w:rPr>
                <w:rFonts w:hint="eastAsia" w:ascii="宋体" w:hAnsi="宋体" w:cs="宋体"/>
                <w:color w:val="000000"/>
                <w:kern w:val="0"/>
                <w:sz w:val="22"/>
                <w:szCs w:val="22"/>
              </w:rPr>
              <w:t>型号：R1200TII</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5</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86寸交互大屏</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 联想M</w:t>
            </w:r>
            <w:r>
              <w:rPr>
                <w:rFonts w:ascii="宋体" w:hAnsi="宋体" w:cs="宋体"/>
                <w:color w:val="000000"/>
                <w:kern w:val="0"/>
                <w:szCs w:val="21"/>
              </w:rPr>
              <w:t>1 Pro Gen2 86</w:t>
            </w:r>
            <w:r>
              <w:rPr>
                <w:rFonts w:hint="eastAsia" w:ascii="宋体" w:hAnsi="宋体" w:cs="宋体"/>
                <w:color w:val="000000"/>
                <w:kern w:val="0"/>
                <w:szCs w:val="21"/>
              </w:rPr>
              <w:t>寸显示屏参数</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 w:val="22"/>
                <w:szCs w:val="22"/>
              </w:rPr>
              <w:t>.</w:t>
            </w:r>
            <w:r>
              <w:rPr>
                <w:rFonts w:hint="eastAsia" w:ascii="宋体" w:hAnsi="宋体" w:cs="宋体"/>
                <w:color w:val="000000"/>
                <w:kern w:val="0"/>
                <w:szCs w:val="21"/>
              </w:rPr>
              <w:t>采用A规液晶屏，LED背光，屏幕尺寸≥</w:t>
            </w:r>
            <w:r>
              <w:rPr>
                <w:rFonts w:ascii="宋体" w:hAnsi="宋体" w:cs="宋体"/>
                <w:color w:val="000000"/>
                <w:kern w:val="0"/>
                <w:szCs w:val="21"/>
              </w:rPr>
              <w:t>86</w:t>
            </w:r>
            <w:r>
              <w:rPr>
                <w:rFonts w:hint="eastAsia" w:ascii="宋体" w:hAnsi="宋体" w:cs="宋体"/>
                <w:color w:val="000000"/>
                <w:kern w:val="0"/>
                <w:szCs w:val="21"/>
              </w:rPr>
              <w:t>英寸，物理分辨率为UHD超清4K， 3840×2160，刷新率60Hz，显示比例16:9，可视角度≥178° 。</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2.★整机亮度：≥480cd/m2，对比度：≥5000:1，色域（色彩覆盖率）：≥93%；整机在sRGB模式下可做到高色准△E≤1.5。</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3.整机采用硬件低蓝光背光技术，低蓝光保护显示不偏色、不泛黄；整机采用无频闪设计，能够有效减轻屏幕闪烁给用户带来的视觉疲劳。</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(二) 整机规格参数</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1.内置安卓系统，CPU采用四核，安卓系统版本≥11.0，内存不低于3GB RAM，存储不低于12GB ROM, 支持在线升级。</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2.★整机前置接口需具备：USB3.0，HDMI，Touch USB，Type-C，方便快速识别与使用。前置接口具备隐藏式接口设计，支持防尘，防止粉笔灰落入。</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 ★整机后置接口需具备：包含但不限于USB3.0，USB Touch，HDMI IN，HDMI OUT，RS232，RJ45。</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 ★考虑到须连接其它多媒体设备，须提供千兆网络接口（非OPS网络接口），同时支持安卓和OPS电脑Windows双系统有线网络联网。</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5.整机内置蓝牙模块，蓝牙协议支持不低于5.1版本，工作距离≥12米，可连接蓝牙耳机、音响等外部蓝牙设备。</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6.为了满足使用者便于操作的功能，前置物理按键不低于5个，支持复合功能，采用中文标识，功能包括但不限于电源、返回、护眼、设置、主页、录屏。</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7.★内置4.2声道音箱，中音喇叭≥2，高音喇叭≥2，低音喇叭≥2，额定总功率不低于60W。</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8.★整机支持2.4G&amp;5G双频段，支持802.11b/g/n/ac/ax（WIFI6）协议。</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9.★整机支持一键启动录屏功能，支持安卓系统和windows系统下录屏，并支持两个系统切换录屏不中断。</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10.★便于教师准确识别按键和接口功能，前置按键、前置接口具备中文标识。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11.★前置USB接口支持Windows 及Android 双系统读取，将U盘插入任意前置USB接口，均能被Windows及Android 系统识别。</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12.整机只需连接一根网线，即可实现Windows 及Android系统同时联网。</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13.支持单独听功能，显示屏熄屏关闭后，在黑屏状态下，可进行音频播放。</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14.无需借助PC，内置专业硬件自检维护工具，不接受第三方工具，可一键进行硬件自检，包括但不限于对OPS电脑状态、网络状态、光感系统、CPU配置进行检测和故障提示。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15.★支持全通道窗口一键半屏（窗口下移）功能，并支持点击恢复显示全屏窗口。</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16.前面板具备磁吸区域，可吸附铁质金属的书写笔，方便使用。</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(三) 触控参数</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1.触控技术：支持20点红外触控，无需安装驱动和校准定位；</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2.★支持手势息屏，通过三指长按屏幕达到息屏状态，并可通过三指长按实现屏幕唤醒功能。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 xml:space="preserve"> (四) 摄像头和拾音麦</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1.★整机内置非独立的高清摄像头，不低于1300万像素，视角不低于120度。</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2.★整机内置非独立外扩展的不低于5阵列降噪麦克风，可识别距离不小于10米。</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(五) 安卓白板软件</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1.支持手掌智能擦除，可根据手掌擦除面积与屏幕的接触面大小自动调整；白板书写内容支持不少于三种导出格式；支持10种以上平面图形工具；支持8种以上立体图形工具。</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2.★支持元素及书写内容快速回溯到之前任意状态，可根据用户情况自行决定回溯到前序的书写状态。</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3.★白板支持笔触压感效果，无需使用主动笔即可实现该功能。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4.★支持在书写时自动识别人手和书写笔，可支持打开或关闭该功能。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5.使用白板软件时，可根据用户书写操作智能调节屏幕亮度。</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6.支持智能工具箱，可选择思维导图、计算器、聚光灯等多种小工具。</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7.软件内内置动态使用说明书，对白板相关功能进行动态功能展示，方便老师一键查看学习白板相关功能。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(六) 售后服务要求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 w:val="22"/>
                <w:szCs w:val="22"/>
              </w:rPr>
              <w:t>.</w:t>
            </w:r>
            <w:r>
              <w:rPr>
                <w:rFonts w:hint="eastAsia" w:ascii="宋体" w:hAnsi="宋体" w:cs="宋体"/>
                <w:color w:val="000000"/>
                <w:kern w:val="0"/>
                <w:szCs w:val="21"/>
              </w:rPr>
              <w:t>整机3年质量保障、3年免费上门服务，全年无休。</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(七) 内置电脑</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color w:val="000000"/>
                <w:kern w:val="0"/>
                <w:szCs w:val="21"/>
              </w:rPr>
              <w:t>★</w:t>
            </w:r>
            <w:r>
              <w:rPr>
                <w:rFonts w:hint="eastAsia" w:ascii="宋体" w:hAnsi="宋体" w:cs="宋体"/>
                <w:color w:val="000000"/>
                <w:kern w:val="0"/>
                <w:sz w:val="22"/>
                <w:szCs w:val="22"/>
              </w:rPr>
              <w:t>采用英特尔定义的标准OPS 80pin接口定义。</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2.内置OPS电脑采用抽拉式模块化设计，无任何外接电源线和信号线，方便检测维护;</w:t>
            </w:r>
          </w:p>
          <w:p>
            <w:pPr>
              <w:widowControl/>
              <w:jc w:val="left"/>
              <w:textAlignment w:val="center"/>
              <w:rPr>
                <w:rFonts w:ascii="宋体" w:hAnsi="宋体" w:cs="宋体"/>
                <w:color w:val="000000"/>
                <w:kern w:val="0"/>
                <w:szCs w:val="21"/>
              </w:rPr>
            </w:pPr>
            <w:r>
              <w:rPr>
                <w:rFonts w:hint="eastAsia" w:ascii="宋体" w:hAnsi="宋体" w:cs="宋体"/>
                <w:color w:val="000000"/>
                <w:kern w:val="0"/>
                <w:sz w:val="22"/>
                <w:szCs w:val="22"/>
              </w:rPr>
              <w:t xml:space="preserve">3.不低于Intel十代I7及以上CPU； </w:t>
            </w:r>
            <w:r>
              <w:rPr>
                <w:rFonts w:ascii="宋体" w:hAnsi="宋体" w:cs="宋体"/>
                <w:color w:val="000000"/>
                <w:kern w:val="0"/>
                <w:sz w:val="22"/>
                <w:szCs w:val="22"/>
              </w:rPr>
              <w:t>16</w:t>
            </w:r>
            <w:r>
              <w:rPr>
                <w:rFonts w:hint="eastAsia" w:ascii="宋体" w:hAnsi="宋体" w:cs="宋体"/>
                <w:color w:val="000000"/>
                <w:kern w:val="0"/>
                <w:sz w:val="22"/>
                <w:szCs w:val="22"/>
              </w:rPr>
              <w:t>GB DDR4及以上内存；</w:t>
            </w:r>
            <w:r>
              <w:rPr>
                <w:rFonts w:ascii="宋体" w:hAnsi="宋体" w:cs="宋体"/>
                <w:color w:val="000000"/>
                <w:kern w:val="0"/>
                <w:sz w:val="22"/>
                <w:szCs w:val="22"/>
              </w:rPr>
              <w:t>512</w:t>
            </w:r>
            <w:r>
              <w:rPr>
                <w:rFonts w:hint="eastAsia" w:ascii="宋体" w:hAnsi="宋体" w:cs="宋体"/>
                <w:color w:val="000000"/>
                <w:kern w:val="0"/>
                <w:sz w:val="22"/>
                <w:szCs w:val="22"/>
              </w:rPr>
              <w:t>GB SSD及以上硬盘，不少于6个USB接口</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6</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移动支架</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人字形移动支架，3 英寸 PU 静音双轮,专业加强壁挂 1000*600</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不低于衡将</w:t>
            </w:r>
            <w:r>
              <w:rPr>
                <w:rFonts w:hint="eastAsia" w:ascii="宋体" w:hAnsi="宋体" w:cs="宋体"/>
                <w:color w:val="000000"/>
                <w:kern w:val="0"/>
                <w:sz w:val="22"/>
                <w:szCs w:val="22"/>
              </w:rPr>
              <w:t>W10</w:t>
            </w:r>
            <w:r>
              <w:rPr>
                <w:rFonts w:hint="eastAsia" w:ascii="宋体" w:hAnsi="宋体" w:cs="宋体"/>
                <w:color w:val="000000"/>
                <w:kern w:val="0"/>
                <w:szCs w:val="21"/>
              </w:rPr>
              <w:t>品质</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7</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工作站</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 xml:space="preserve">联想(ThinkStation)P720图形工作站 </w:t>
            </w:r>
          </w:p>
          <w:p>
            <w:pPr>
              <w:rPr>
                <w:rFonts w:ascii="宋体" w:hAnsi="宋体" w:cs="宋体"/>
                <w:color w:val="000000"/>
                <w:kern w:val="0"/>
                <w:szCs w:val="21"/>
              </w:rPr>
            </w:pPr>
            <w:r>
              <w:rPr>
                <w:rFonts w:hint="eastAsia" w:ascii="宋体" w:hAnsi="宋体" w:cs="宋体"/>
                <w:color w:val="000000"/>
                <w:kern w:val="0"/>
                <w:szCs w:val="21"/>
              </w:rPr>
              <w:t>1.处理器≥</w:t>
            </w:r>
            <w:r>
              <w:rPr>
                <w:rFonts w:ascii="宋体" w:hAnsi="宋体" w:cs="宋体"/>
                <w:color w:val="000000"/>
                <w:kern w:val="0"/>
                <w:szCs w:val="21"/>
              </w:rPr>
              <w:t>2</w:t>
            </w:r>
            <w:r>
              <w:rPr>
                <w:rFonts w:hint="eastAsia" w:ascii="宋体" w:hAnsi="宋体" w:cs="宋体"/>
                <w:color w:val="000000"/>
                <w:kern w:val="0"/>
                <w:szCs w:val="21"/>
              </w:rPr>
              <w:t>颗</w:t>
            </w:r>
            <w:r>
              <w:rPr>
                <w:rFonts w:ascii="宋体" w:hAnsi="宋体" w:cs="宋体"/>
                <w:color w:val="000000"/>
                <w:kern w:val="0"/>
                <w:szCs w:val="21"/>
              </w:rPr>
              <w:t> Xeon SR 4210R</w:t>
            </w:r>
          </w:p>
          <w:p>
            <w:pPr>
              <w:rPr>
                <w:rFonts w:ascii="宋体" w:hAnsi="宋体" w:cs="宋体"/>
                <w:color w:val="000000"/>
                <w:kern w:val="0"/>
                <w:szCs w:val="21"/>
              </w:rPr>
            </w:pPr>
            <w:r>
              <w:rPr>
                <w:rFonts w:hint="eastAsia" w:ascii="宋体" w:hAnsi="宋体" w:cs="宋体"/>
                <w:color w:val="000000"/>
                <w:kern w:val="0"/>
                <w:szCs w:val="21"/>
              </w:rPr>
              <w:t>2.主板：≥Intel C621系列及以上芯片组；</w:t>
            </w:r>
          </w:p>
          <w:p>
            <w:pPr>
              <w:rPr>
                <w:rFonts w:ascii="宋体" w:hAnsi="宋体" w:cs="宋体"/>
                <w:color w:val="000000"/>
                <w:kern w:val="0"/>
                <w:szCs w:val="21"/>
              </w:rPr>
            </w:pPr>
            <w:r>
              <w:rPr>
                <w:rFonts w:hint="eastAsia" w:ascii="宋体" w:hAnsi="宋体" w:cs="宋体"/>
                <w:color w:val="000000"/>
                <w:kern w:val="0"/>
                <w:szCs w:val="21"/>
              </w:rPr>
              <w:t>3.内存：≥6</w:t>
            </w:r>
            <w:r>
              <w:rPr>
                <w:rFonts w:ascii="宋体" w:hAnsi="宋体" w:cs="宋体"/>
                <w:color w:val="000000"/>
                <w:kern w:val="0"/>
                <w:szCs w:val="21"/>
              </w:rPr>
              <w:t>4G</w:t>
            </w:r>
            <w:r>
              <w:rPr>
                <w:rFonts w:hint="eastAsia" w:ascii="宋体" w:hAnsi="宋体" w:cs="宋体"/>
                <w:color w:val="000000"/>
                <w:kern w:val="0"/>
                <w:szCs w:val="21"/>
              </w:rPr>
              <w:t>，支持12个内存插槽，最大支持384GB内存；</w:t>
            </w:r>
          </w:p>
          <w:p>
            <w:pPr>
              <w:rPr>
                <w:rFonts w:ascii="宋体" w:hAnsi="宋体" w:cs="宋体"/>
                <w:color w:val="000000"/>
                <w:kern w:val="0"/>
                <w:szCs w:val="21"/>
              </w:rPr>
            </w:pPr>
            <w:r>
              <w:rPr>
                <w:rFonts w:hint="eastAsia" w:ascii="宋体" w:hAnsi="宋体" w:cs="宋体"/>
                <w:color w:val="000000"/>
                <w:kern w:val="0"/>
                <w:szCs w:val="21"/>
              </w:rPr>
              <w:t>4.硬盘：≥</w:t>
            </w:r>
            <w:r>
              <w:rPr>
                <w:rFonts w:ascii="宋体" w:hAnsi="宋体" w:cs="宋体"/>
                <w:color w:val="000000"/>
                <w:kern w:val="0"/>
                <w:szCs w:val="21"/>
              </w:rPr>
              <w:t>512G SSD+4TB HD 7200RPM 3.5" SATA3</w:t>
            </w:r>
            <w:r>
              <w:rPr>
                <w:rFonts w:hint="eastAsia" w:ascii="宋体" w:hAnsi="宋体" w:cs="宋体"/>
                <w:color w:val="000000"/>
                <w:kern w:val="0"/>
                <w:szCs w:val="21"/>
              </w:rPr>
              <w:t>，最大支持到6个3.5寸硬盘；标配2个板载M</w:t>
            </w:r>
            <w:r>
              <w:rPr>
                <w:rFonts w:ascii="宋体" w:hAnsi="宋体" w:cs="宋体"/>
                <w:color w:val="000000"/>
                <w:kern w:val="0"/>
                <w:szCs w:val="21"/>
              </w:rPr>
              <w:t>.2 SSD</w:t>
            </w:r>
            <w:r>
              <w:rPr>
                <w:rFonts w:hint="eastAsia" w:ascii="宋体" w:hAnsi="宋体" w:cs="宋体"/>
                <w:color w:val="000000"/>
                <w:kern w:val="0"/>
                <w:szCs w:val="21"/>
              </w:rPr>
              <w:t>插槽</w:t>
            </w:r>
          </w:p>
          <w:p>
            <w:pPr>
              <w:rPr>
                <w:rFonts w:ascii="宋体" w:hAnsi="宋体" w:cs="宋体"/>
                <w:color w:val="000000"/>
                <w:kern w:val="0"/>
                <w:szCs w:val="21"/>
              </w:rPr>
            </w:pPr>
            <w:r>
              <w:rPr>
                <w:rFonts w:hint="eastAsia" w:ascii="宋体" w:hAnsi="宋体" w:cs="宋体"/>
                <w:color w:val="000000"/>
                <w:kern w:val="0"/>
                <w:szCs w:val="21"/>
              </w:rPr>
              <w:t>5.显卡≥</w:t>
            </w:r>
            <w:r>
              <w:rPr>
                <w:rFonts w:ascii="宋体" w:hAnsi="宋体" w:cs="宋体"/>
                <w:color w:val="000000"/>
                <w:kern w:val="0"/>
                <w:szCs w:val="21"/>
              </w:rPr>
              <w:t>Quadro RTX4000 8GB </w:t>
            </w:r>
          </w:p>
          <w:p>
            <w:pPr>
              <w:rPr>
                <w:rFonts w:ascii="宋体" w:hAnsi="宋体" w:cs="宋体"/>
                <w:color w:val="000000"/>
                <w:kern w:val="0"/>
                <w:szCs w:val="21"/>
              </w:rPr>
            </w:pPr>
            <w:r>
              <w:rPr>
                <w:rFonts w:hint="eastAsia" w:ascii="宋体" w:hAnsi="宋体" w:cs="宋体"/>
                <w:color w:val="000000"/>
                <w:kern w:val="0"/>
                <w:szCs w:val="21"/>
              </w:rPr>
              <w:t>6.网卡：标配双千兆网卡，可选万兆网卡；</w:t>
            </w:r>
          </w:p>
          <w:p>
            <w:pPr>
              <w:rPr>
                <w:rFonts w:ascii="宋体" w:hAnsi="宋体" w:cs="宋体"/>
                <w:color w:val="000000"/>
                <w:kern w:val="0"/>
                <w:szCs w:val="21"/>
              </w:rPr>
            </w:pPr>
            <w:r>
              <w:rPr>
                <w:rFonts w:hint="eastAsia" w:ascii="宋体" w:hAnsi="宋体" w:cs="宋体"/>
                <w:color w:val="000000"/>
                <w:kern w:val="0"/>
                <w:szCs w:val="21"/>
              </w:rPr>
              <w:t>7.声卡：集成声卡；</w:t>
            </w:r>
          </w:p>
          <w:p>
            <w:pPr>
              <w:widowControl/>
              <w:rPr>
                <w:rFonts w:ascii="宋体" w:hAnsi="宋体" w:cs="宋体"/>
                <w:color w:val="000000"/>
                <w:kern w:val="0"/>
                <w:szCs w:val="21"/>
              </w:rPr>
            </w:pPr>
            <w:r>
              <w:rPr>
                <w:rFonts w:hint="eastAsia" w:ascii="宋体" w:hAnsi="宋体" w:cs="宋体"/>
                <w:color w:val="000000"/>
                <w:kern w:val="0"/>
                <w:szCs w:val="21"/>
              </w:rPr>
              <w:t xml:space="preserve">8.电源：≥1000W 92%白金电源 ， </w:t>
            </w:r>
          </w:p>
          <w:p>
            <w:pPr>
              <w:rPr>
                <w:rFonts w:ascii="宋体" w:hAnsi="宋体" w:cs="宋体"/>
                <w:color w:val="000000"/>
                <w:kern w:val="0"/>
                <w:szCs w:val="21"/>
              </w:rPr>
            </w:pPr>
            <w:r>
              <w:rPr>
                <w:rFonts w:hint="eastAsia" w:ascii="宋体" w:hAnsi="宋体" w:cs="宋体"/>
                <w:color w:val="000000"/>
                <w:kern w:val="0"/>
                <w:szCs w:val="21"/>
              </w:rPr>
              <w:t>9.接口：≥10个USB接口（前置4个USB 3.0接口，后置6个USB接口）、2个PS/2接口、1个串口（可选），可选IEEE1394接口、eSATA接口</w:t>
            </w:r>
          </w:p>
          <w:p>
            <w:pPr>
              <w:rPr>
                <w:rFonts w:ascii="宋体" w:hAnsi="宋体" w:cs="宋体"/>
                <w:color w:val="000000"/>
                <w:kern w:val="0"/>
                <w:szCs w:val="21"/>
              </w:rPr>
            </w:pPr>
            <w:r>
              <w:rPr>
                <w:rFonts w:hint="eastAsia" w:ascii="宋体" w:hAnsi="宋体" w:cs="宋体"/>
                <w:color w:val="000000"/>
                <w:kern w:val="0"/>
                <w:szCs w:val="21"/>
              </w:rPr>
              <w:t>10</w:t>
            </w:r>
            <w:r>
              <w:rPr>
                <w:rFonts w:hint="eastAsia" w:ascii="宋体" w:hAnsi="宋体" w:cs="宋体"/>
                <w:color w:val="000000"/>
                <w:kern w:val="0"/>
                <w:sz w:val="22"/>
                <w:szCs w:val="22"/>
              </w:rPr>
              <w:t>.</w:t>
            </w:r>
            <w:r>
              <w:rPr>
                <w:rFonts w:hint="eastAsia" w:ascii="宋体" w:hAnsi="宋体" w:cs="宋体"/>
                <w:color w:val="000000"/>
                <w:kern w:val="0"/>
                <w:szCs w:val="21"/>
              </w:rPr>
              <w:t>扩展槽：≥</w:t>
            </w:r>
            <w:r>
              <w:rPr>
                <w:rFonts w:ascii="宋体" w:hAnsi="宋体" w:cs="宋体"/>
                <w:color w:val="000000"/>
                <w:kern w:val="0"/>
                <w:szCs w:val="21"/>
              </w:rPr>
              <w:t>3</w:t>
            </w:r>
            <w:r>
              <w:rPr>
                <w:rFonts w:hint="eastAsia" w:ascii="宋体" w:hAnsi="宋体" w:cs="宋体"/>
                <w:color w:val="000000"/>
                <w:kern w:val="0"/>
                <w:szCs w:val="21"/>
              </w:rPr>
              <w:t>个PCI-E3.0 x16，≥1个PCI；</w:t>
            </w:r>
          </w:p>
          <w:p>
            <w:pP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r>
              <w:rPr>
                <w:rFonts w:hint="eastAsia" w:ascii="宋体" w:hAnsi="宋体" w:cs="宋体"/>
                <w:color w:val="000000"/>
                <w:kern w:val="0"/>
                <w:sz w:val="22"/>
                <w:szCs w:val="22"/>
              </w:rPr>
              <w:t>.</w:t>
            </w:r>
            <w:r>
              <w:rPr>
                <w:rFonts w:hint="eastAsia" w:ascii="宋体" w:hAnsi="宋体" w:cs="宋体"/>
                <w:color w:val="000000"/>
                <w:kern w:val="0"/>
                <w:szCs w:val="21"/>
              </w:rPr>
              <w:t>机箱：≤3</w:t>
            </w:r>
            <w:r>
              <w:rPr>
                <w:rFonts w:ascii="宋体" w:hAnsi="宋体" w:cs="宋体"/>
                <w:color w:val="000000"/>
                <w:kern w:val="0"/>
                <w:szCs w:val="21"/>
              </w:rPr>
              <w:t>6</w:t>
            </w:r>
            <w:r>
              <w:rPr>
                <w:rFonts w:hint="eastAsia" w:ascii="宋体" w:hAnsi="宋体" w:cs="宋体"/>
                <w:color w:val="000000"/>
                <w:kern w:val="0"/>
                <w:szCs w:val="21"/>
              </w:rPr>
              <w:t>L立式机箱，支持免工具拆卸、内嵌式把手设计，易于搬运；自带后面板挂锁环：防止机器内关键部件被拆除；</w:t>
            </w:r>
          </w:p>
          <w:p>
            <w:pPr>
              <w:rPr>
                <w:rFonts w:ascii="宋体" w:hAnsi="宋体" w:cs="宋体"/>
                <w:color w:val="000000"/>
                <w:kern w:val="0"/>
                <w:szCs w:val="21"/>
              </w:rPr>
            </w:pPr>
            <w:r>
              <w:rPr>
                <w:rFonts w:hint="eastAsia" w:ascii="宋体" w:hAnsi="宋体" w:cs="宋体"/>
                <w:color w:val="000000"/>
                <w:kern w:val="0"/>
                <w:szCs w:val="21"/>
              </w:rPr>
              <w:t>自带线锁插槽：防止机器被整机搬迁；</w:t>
            </w:r>
          </w:p>
          <w:p>
            <w:pP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r>
              <w:rPr>
                <w:rFonts w:hint="eastAsia" w:ascii="宋体" w:hAnsi="宋体" w:cs="宋体"/>
                <w:color w:val="000000"/>
                <w:kern w:val="0"/>
                <w:szCs w:val="21"/>
              </w:rPr>
              <w:t>.键鼠：USB键盘、鼠标；</w:t>
            </w:r>
          </w:p>
          <w:p>
            <w:pP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3.</w:t>
            </w:r>
            <w:r>
              <w:rPr>
                <w:rFonts w:hint="eastAsia" w:ascii="宋体" w:hAnsi="宋体" w:cs="宋体"/>
                <w:color w:val="000000"/>
                <w:kern w:val="0"/>
                <w:szCs w:val="21"/>
              </w:rPr>
              <w:t>显示器：2</w:t>
            </w:r>
            <w:r>
              <w:rPr>
                <w:rFonts w:ascii="宋体" w:hAnsi="宋体" w:cs="宋体"/>
                <w:color w:val="000000"/>
                <w:kern w:val="0"/>
                <w:szCs w:val="21"/>
              </w:rPr>
              <w:t>3.8</w:t>
            </w:r>
            <w:r>
              <w:rPr>
                <w:rFonts w:hint="eastAsia" w:ascii="宋体" w:hAnsi="宋体" w:cs="宋体"/>
                <w:color w:val="000000"/>
                <w:kern w:val="0"/>
                <w:szCs w:val="21"/>
              </w:rPr>
              <w:t>寸液晶显示器</w:t>
            </w:r>
          </w:p>
          <w:p>
            <w:pPr>
              <w:rPr>
                <w:rFonts w:ascii="宋体" w:hAnsi="宋体" w:cs="宋体"/>
                <w:color w:val="000000"/>
                <w:kern w:val="0"/>
                <w:szCs w:val="21"/>
              </w:rPr>
            </w:pPr>
            <w:r>
              <w:rPr>
                <w:rFonts w:hint="eastAsia" w:ascii="宋体" w:hAnsi="宋体" w:cs="宋体"/>
                <w:color w:val="000000"/>
                <w:kern w:val="0"/>
                <w:szCs w:val="21"/>
              </w:rPr>
              <w:t>14.系统应用：预装正版Window 11操作系统；</w:t>
            </w:r>
          </w:p>
          <w:p>
            <w:pPr>
              <w:widowControl/>
              <w:jc w:val="left"/>
              <w:textAlignment w:val="center"/>
              <w:rPr>
                <w:rFonts w:ascii="宋体" w:hAnsi="宋体" w:cs="宋体"/>
                <w:b/>
                <w:color w:val="000000"/>
                <w:kern w:val="0"/>
                <w:szCs w:val="21"/>
              </w:rPr>
            </w:pPr>
            <w:r>
              <w:rPr>
                <w:rFonts w:hint="eastAsia" w:ascii="宋体" w:hAnsi="宋体" w:cs="宋体"/>
                <w:b/>
                <w:color w:val="000000"/>
                <w:kern w:val="0"/>
                <w:szCs w:val="21"/>
              </w:rPr>
              <w:t>15.售后服务不少于三年原厂质保，投标人中标后需提供原厂服务承诺函原件。</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3" w:hRule="atLeast"/>
        </w:trPr>
        <w:tc>
          <w:tcPr>
            <w:tcW w:w="617" w:type="dxa"/>
            <w:gridSpan w:val="2"/>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8</w:t>
            </w:r>
          </w:p>
        </w:tc>
        <w:tc>
          <w:tcPr>
            <w:tcW w:w="1136" w:type="dxa"/>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AV交换机</w:t>
            </w:r>
          </w:p>
        </w:tc>
        <w:tc>
          <w:tcPr>
            <w:tcW w:w="5046" w:type="dxa"/>
            <w:gridSpan w:val="2"/>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8个1G POE+端口，提供共125W的POE输出功率；</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2个独立的1G上行接口；</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2个独立的SFP 1G上行端口；</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支持Dante/AVB/Q-SYS/AES67/NDI/JPEG/H.265/PTP/SDVoE等音视频协议</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品牌：NETGEAR</w:t>
            </w:r>
          </w:p>
          <w:p>
            <w:pPr>
              <w:widowControl/>
              <w:jc w:val="left"/>
              <w:textAlignment w:val="center"/>
              <w:rPr>
                <w:rFonts w:ascii="宋体" w:hAnsi="宋体" w:cs="宋体"/>
                <w:color w:val="000000"/>
                <w:kern w:val="0"/>
                <w:szCs w:val="21"/>
              </w:rPr>
            </w:pPr>
            <w:r>
              <w:rPr>
                <w:rFonts w:hint="eastAsia" w:ascii="宋体" w:hAnsi="宋体" w:cs="宋体"/>
                <w:color w:val="000000"/>
                <w:kern w:val="0"/>
                <w:sz w:val="22"/>
                <w:szCs w:val="22"/>
              </w:rPr>
              <w:t>型号：</w:t>
            </w:r>
            <w:r>
              <w:rPr>
                <w:rFonts w:hint="eastAsia" w:ascii="宋体" w:hAnsi="宋体" w:cs="宋体"/>
                <w:color w:val="000000"/>
                <w:kern w:val="0"/>
                <w:szCs w:val="21"/>
              </w:rPr>
              <w:t>M4250-10G2F-POE+</w:t>
            </w:r>
          </w:p>
        </w:tc>
        <w:tc>
          <w:tcPr>
            <w:tcW w:w="69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617" w:type="dxa"/>
            <w:gridSpan w:val="2"/>
            <w:shd w:val="clear" w:color="auto" w:fill="FFFFFF"/>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1136" w:type="dxa"/>
            <w:shd w:val="clear" w:color="auto" w:fill="FFFFFF"/>
            <w:vAlign w:val="center"/>
          </w:tcPr>
          <w:p>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格力空调</w:t>
            </w:r>
          </w:p>
        </w:tc>
        <w:tc>
          <w:tcPr>
            <w:tcW w:w="5046" w:type="dxa"/>
            <w:gridSpan w:val="2"/>
            <w:shd w:val="clear" w:color="auto" w:fill="FFFFFF"/>
            <w:vAlign w:val="center"/>
          </w:tcPr>
          <w:p>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挂机，一级能效，2匹</w:t>
            </w:r>
          </w:p>
        </w:tc>
        <w:tc>
          <w:tcPr>
            <w:tcW w:w="692" w:type="dxa"/>
            <w:gridSpan w:val="2"/>
            <w:shd w:val="clear" w:color="auto" w:fill="FFFFFF"/>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122" w:type="dxa"/>
            <w:gridSpan w:val="2"/>
            <w:shd w:val="clear" w:color="auto" w:fill="FFFFFF"/>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8613" w:type="dxa"/>
            <w:gridSpan w:val="9"/>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 w:val="24"/>
              </w:rPr>
              <w:t xml:space="preserve">第五部分 </w:t>
            </w:r>
            <w:r>
              <w:rPr>
                <w:rFonts w:hint="eastAsia" w:ascii="宋体" w:hAnsi="宋体" w:cs="宋体"/>
                <w:b/>
                <w:bCs/>
                <w:color w:val="000000"/>
                <w:kern w:val="0"/>
                <w:szCs w:val="21"/>
              </w:rPr>
              <w:t>灯光部分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5"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LED影视平板灯</w:t>
            </w:r>
          </w:p>
        </w:tc>
        <w:tc>
          <w:tcPr>
            <w:tcW w:w="5046" w:type="dxa"/>
            <w:gridSpan w:val="2"/>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功率80W；</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LED光源：进口LED芯片；</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电源输入/输出：AC100~240V 50-60Hz；</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电源插头：可锁定三芯航空插头；</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色温：3200K/5600K可选；1M照度5000LX；</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显色指数Ra≥90；</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信号输入/输出：DMX512信号；DMX512；</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线控0-100%无极线性调光；</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光束角度：不小于130度；</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1"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LED聚光灯</w:t>
            </w:r>
          </w:p>
        </w:tc>
        <w:tc>
          <w:tcPr>
            <w:tcW w:w="5046" w:type="dxa"/>
            <w:gridSpan w:val="2"/>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LED光源：COB集成；功率80W；</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电源输入/输出：AC100~240V 50-60Hz；</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电源插头：可锁定三芯航空插头；</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色温：3200K/5600K可选；1M照度9800LX；</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显色指数Ra≥90；</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信号输入/输出：DMX512信号；手动按钮及DMX512线控0-100%无极线性调光；</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控制：LCD显示屏+4个轻触按键；</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光束角度：15-55度；</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工作温度：-20度至45度；</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防水等级：IP20；</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灯具重量：6.5kg；</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136" w:type="dxa"/>
            <w:shd w:val="clear" w:color="auto" w:fill="FFFFFF"/>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灯光钢制葡萄架</w:t>
            </w:r>
          </w:p>
        </w:tc>
        <w:tc>
          <w:tcPr>
            <w:tcW w:w="5046" w:type="dxa"/>
            <w:gridSpan w:val="2"/>
            <w:shd w:val="clear" w:color="auto" w:fill="FFFFFF"/>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4*4方钢焊接600*600框架，刷防锈漆。</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13.5</w:t>
            </w:r>
          </w:p>
        </w:tc>
        <w:tc>
          <w:tcPr>
            <w:tcW w:w="1122" w:type="dxa"/>
            <w:gridSpan w:val="2"/>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54"/>
                <w:rFonts w:hint="default"/>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三脚架</w:t>
            </w:r>
          </w:p>
        </w:tc>
        <w:tc>
          <w:tcPr>
            <w:tcW w:w="5046" w:type="dxa"/>
            <w:gridSpan w:val="2"/>
            <w:shd w:val="clear" w:color="auto" w:fill="auto"/>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材质：碳素合金钢</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收缩高度：80cm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产品重量：1100克</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灯光电缆线</w:t>
            </w:r>
          </w:p>
        </w:tc>
        <w:tc>
          <w:tcPr>
            <w:tcW w:w="5046" w:type="dxa"/>
            <w:gridSpan w:val="2"/>
            <w:shd w:val="clear" w:color="auto" w:fill="auto"/>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RVV2×1.5mm专用影视电缆，国标电缆</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信号线</w:t>
            </w:r>
          </w:p>
        </w:tc>
        <w:tc>
          <w:tcPr>
            <w:tcW w:w="5046" w:type="dxa"/>
            <w:gridSpan w:val="2"/>
            <w:shd w:val="clear" w:color="auto" w:fill="auto"/>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RVVP2×0.5mm专业信号电缆</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信号放大器</w:t>
            </w:r>
          </w:p>
        </w:tc>
        <w:tc>
          <w:tcPr>
            <w:tcW w:w="5046" w:type="dxa"/>
            <w:gridSpan w:val="2"/>
            <w:shd w:val="clear" w:color="auto" w:fill="auto"/>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一进八出专业信号放大设备</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保险链.灯号牌</w:t>
            </w:r>
          </w:p>
        </w:tc>
        <w:tc>
          <w:tcPr>
            <w:tcW w:w="5046" w:type="dxa"/>
            <w:gridSpan w:val="2"/>
            <w:shd w:val="clear" w:color="auto" w:fill="auto"/>
            <w:vAlign w:val="center"/>
          </w:tcPr>
          <w:p>
            <w:pPr>
              <w:jc w:val="left"/>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kern w:val="0"/>
                <w:sz w:val="22"/>
                <w:szCs w:val="22"/>
              </w:rPr>
              <w:t>.</w:t>
            </w:r>
            <w:r>
              <w:rPr>
                <w:rFonts w:hint="eastAsia" w:ascii="宋体" w:hAnsi="宋体" w:cs="宋体"/>
                <w:color w:val="000000"/>
                <w:szCs w:val="21"/>
              </w:rPr>
              <w:t>KT板材质</w:t>
            </w:r>
          </w:p>
          <w:p>
            <w:pPr>
              <w:jc w:val="left"/>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kern w:val="0"/>
                <w:sz w:val="22"/>
                <w:szCs w:val="22"/>
              </w:rPr>
              <w:t>.</w:t>
            </w:r>
            <w:r>
              <w:rPr>
                <w:rFonts w:hint="eastAsia" w:ascii="宋体" w:hAnsi="宋体" w:cs="宋体"/>
                <w:color w:val="000000"/>
                <w:szCs w:val="21"/>
              </w:rPr>
              <w:t>清晰标识</w:t>
            </w:r>
          </w:p>
          <w:p>
            <w:pPr>
              <w:jc w:val="lef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kern w:val="0"/>
                <w:sz w:val="22"/>
                <w:szCs w:val="22"/>
              </w:rPr>
              <w:t>.</w:t>
            </w:r>
            <w:r>
              <w:rPr>
                <w:rFonts w:hint="eastAsia" w:ascii="宋体" w:hAnsi="宋体" w:cs="宋体"/>
                <w:color w:val="000000"/>
                <w:szCs w:val="21"/>
              </w:rPr>
              <w:t xml:space="preserve">尺寸≥150mm*150mm </w:t>
            </w:r>
          </w:p>
          <w:p>
            <w:pPr>
              <w:jc w:val="left"/>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kern w:val="0"/>
                <w:sz w:val="22"/>
                <w:szCs w:val="22"/>
              </w:rPr>
              <w:t>.</w:t>
            </w:r>
            <w:r>
              <w:rPr>
                <w:rFonts w:hint="eastAsia" w:ascii="宋体" w:hAnsi="宋体" w:cs="宋体"/>
                <w:color w:val="000000"/>
                <w:szCs w:val="21"/>
              </w:rPr>
              <w:t>定时钢丝绳环扣灯具保险绳</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617"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136" w:type="dxa"/>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灯光调光台</w:t>
            </w:r>
          </w:p>
        </w:tc>
        <w:tc>
          <w:tcPr>
            <w:tcW w:w="5046" w:type="dxa"/>
            <w:gridSpan w:val="2"/>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DMX24路；24通道的DMX512信号控制，12个集控推杆，24个单控推杆；24个可编辑步骤；内置交叉通道，黑场及停止键；</w:t>
            </w:r>
          </w:p>
        </w:tc>
        <w:tc>
          <w:tcPr>
            <w:tcW w:w="69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122" w:type="dxa"/>
            <w:gridSpan w:val="2"/>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r>
    </w:tbl>
    <w:p/>
    <w:p>
      <w:pPr>
        <w:spacing w:line="400" w:lineRule="exact"/>
        <w:outlineLvl w:val="0"/>
        <w:rPr>
          <w:rFonts w:ascii="宋体" w:hAnsi="宋体" w:cs="宋体"/>
          <w:b/>
          <w:bCs/>
          <w:sz w:val="24"/>
        </w:rPr>
      </w:pPr>
      <w:r>
        <w:rPr>
          <w:rFonts w:hint="eastAsia" w:ascii="宋体" w:hAnsi="宋体" w:cs="宋体"/>
          <w:b/>
          <w:bCs/>
          <w:sz w:val="24"/>
        </w:rPr>
        <w:t>注：</w:t>
      </w:r>
    </w:p>
    <w:p>
      <w:pPr>
        <w:spacing w:line="400" w:lineRule="exact"/>
        <w:ind w:firstLine="480" w:firstLineChars="200"/>
        <w:outlineLvl w:val="0"/>
        <w:rPr>
          <w:rFonts w:hint="eastAsia" w:ascii="宋体" w:hAnsi="宋体" w:cs="宋体"/>
          <w:sz w:val="24"/>
        </w:rPr>
      </w:pPr>
      <w:r>
        <w:rPr>
          <w:rFonts w:hint="eastAsia" w:ascii="宋体" w:hAnsi="宋体" w:cs="宋体"/>
          <w:sz w:val="24"/>
        </w:rPr>
        <w:t>1、所有带“★”的参数在供货安装前须提供具备CNAS检测专用章的检测报告证明文件并加盖制造商公章。中标人</w:t>
      </w:r>
      <w:r>
        <w:rPr>
          <w:rFonts w:hint="eastAsia" w:ascii="宋体" w:hAnsi="宋体" w:cs="宋体"/>
          <w:sz w:val="24"/>
          <w:lang w:val="en-US" w:eastAsia="zh-CN"/>
        </w:rPr>
        <w:t>如未能</w:t>
      </w:r>
      <w:r>
        <w:rPr>
          <w:rFonts w:hint="eastAsia" w:ascii="宋体" w:hAnsi="宋体" w:cs="宋体"/>
          <w:sz w:val="24"/>
        </w:rPr>
        <w:t>在设备安装前提供检测报告证明文件</w:t>
      </w:r>
      <w:r>
        <w:rPr>
          <w:rFonts w:hint="eastAsia" w:ascii="宋体" w:hAnsi="宋体" w:cs="宋体"/>
          <w:sz w:val="24"/>
          <w:lang w:val="en-US" w:eastAsia="zh-CN"/>
        </w:rPr>
        <w:t>的采购人有权终止合同</w:t>
      </w:r>
      <w:r>
        <w:rPr>
          <w:rFonts w:hint="eastAsia" w:ascii="宋体" w:hAnsi="宋体" w:cs="宋体"/>
          <w:sz w:val="24"/>
        </w:rPr>
        <w:t>。</w:t>
      </w:r>
    </w:p>
    <w:p>
      <w:pPr>
        <w:spacing w:line="400" w:lineRule="exact"/>
        <w:ind w:firstLine="480" w:firstLineChars="200"/>
        <w:outlineLvl w:val="0"/>
        <w:rPr>
          <w:rFonts w:hint="eastAsia" w:ascii="宋体" w:hAnsi="宋体" w:cs="宋体"/>
          <w:sz w:val="24"/>
        </w:rPr>
      </w:pPr>
      <w:r>
        <w:rPr>
          <w:rFonts w:hint="eastAsia" w:ascii="宋体" w:hAnsi="宋体" w:cs="宋体"/>
          <w:sz w:val="24"/>
        </w:rPr>
        <w:t>2、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w:t>
      </w:r>
    </w:p>
    <w:p>
      <w:pPr>
        <w:spacing w:line="400" w:lineRule="exact"/>
        <w:ind w:firstLine="480" w:firstLineChars="200"/>
        <w:outlineLvl w:val="0"/>
        <w:rPr>
          <w:rFonts w:hint="eastAsia" w:ascii="宋体" w:hAnsi="宋体" w:cs="宋体"/>
          <w:sz w:val="24"/>
        </w:rPr>
      </w:pPr>
      <w:r>
        <w:rPr>
          <w:rFonts w:hint="eastAsia" w:ascii="宋体" w:hAnsi="宋体" w:cs="宋体"/>
          <w:sz w:val="24"/>
        </w:rPr>
        <w:t>3、投标人须提供所有设备明细单，内容包括但不限于品牌型号。</w:t>
      </w:r>
    </w:p>
    <w:p>
      <w:pPr>
        <w:spacing w:line="400" w:lineRule="exact"/>
        <w:ind w:firstLine="480" w:firstLineChars="200"/>
        <w:outlineLvl w:val="0"/>
        <w:rPr>
          <w:rFonts w:hint="eastAsia" w:ascii="宋体" w:hAnsi="宋体" w:cs="宋体"/>
          <w:sz w:val="24"/>
        </w:rPr>
        <w:sectPr>
          <w:pgSz w:w="11906" w:h="16838"/>
          <w:pgMar w:top="1440" w:right="1800" w:bottom="1440" w:left="1800" w:header="851" w:footer="992" w:gutter="0"/>
          <w:cols w:space="425" w:num="1"/>
          <w:docGrid w:type="lines" w:linePitch="312" w:charSpace="0"/>
        </w:sectPr>
      </w:pPr>
    </w:p>
    <w:p/>
    <w:p>
      <w:pPr>
        <w:adjustRightInd w:val="0"/>
        <w:snapToGrid w:val="0"/>
        <w:spacing w:line="400" w:lineRule="exact"/>
        <w:ind w:firstLine="482" w:firstLineChars="200"/>
        <w:outlineLvl w:val="0"/>
        <w:rPr>
          <w:rFonts w:ascii="宋体" w:hAnsi="宋体" w:cs="宋体"/>
          <w:b/>
          <w:bCs/>
          <w:sz w:val="24"/>
        </w:rPr>
      </w:pPr>
      <w:r>
        <w:rPr>
          <w:rFonts w:hint="eastAsia" w:ascii="宋体" w:hAnsi="宋体" w:cs="宋体"/>
          <w:b/>
          <w:bCs/>
          <w:sz w:val="24"/>
        </w:rPr>
        <w:t>六、项目实施要求：</w:t>
      </w:r>
    </w:p>
    <w:p>
      <w:pPr>
        <w:adjustRightInd w:val="0"/>
        <w:snapToGrid w:val="0"/>
        <w:ind w:firstLine="480" w:firstLineChars="200"/>
        <w:rPr>
          <w:rFonts w:ascii="宋体" w:hAnsi="宋体"/>
          <w:bCs/>
          <w:sz w:val="24"/>
        </w:rPr>
      </w:pPr>
      <w:r>
        <w:rPr>
          <w:rFonts w:hint="eastAsia" w:ascii="宋体" w:hAnsi="宋体"/>
          <w:bCs/>
          <w:sz w:val="24"/>
        </w:rPr>
        <w:t>1、投标人所提供的产品的技术参数、资料须符合本招标文件技术规范，并须详细说明产品的技术特性、性能指标，并提供相应的技术说明书或产品技术特性证明资料。若所提供产品的技术特性、性能指标与本招标文件技术规范有异，须清楚地在投标文件偏离表中说明，且性能应达到或高于本招标文件技术规范的相关指标。未列出的视同响应。</w:t>
      </w:r>
    </w:p>
    <w:p>
      <w:pPr>
        <w:adjustRightInd w:val="0"/>
        <w:snapToGrid w:val="0"/>
        <w:ind w:firstLine="480" w:firstLineChars="200"/>
        <w:rPr>
          <w:rFonts w:ascii="宋体" w:hAnsi="宋体"/>
          <w:bCs/>
          <w:sz w:val="24"/>
        </w:rPr>
      </w:pPr>
      <w:r>
        <w:rPr>
          <w:rFonts w:hint="eastAsia" w:ascii="宋体" w:hAnsi="宋体"/>
          <w:bCs/>
          <w:sz w:val="24"/>
        </w:rPr>
        <w:t>2、投标人应按照项目要求，在投标文件中对所投产品的名称、品牌、生产厂家、产地、主要技术性能指标及其在技术、安全、性能、管理、厂家标准、使用年限及售后服务等方面情况提供详细的具有法律效力的技术资料，并加盖投标人公章，以上材料将作为评审依据。</w:t>
      </w:r>
    </w:p>
    <w:p>
      <w:pPr>
        <w:adjustRightInd w:val="0"/>
        <w:snapToGrid w:val="0"/>
        <w:ind w:firstLine="480" w:firstLineChars="200"/>
        <w:rPr>
          <w:rFonts w:ascii="宋体" w:hAnsi="宋体"/>
          <w:bCs/>
          <w:sz w:val="24"/>
        </w:rPr>
      </w:pPr>
      <w:r>
        <w:rPr>
          <w:rFonts w:hint="eastAsia" w:ascii="宋体" w:hAnsi="宋体"/>
          <w:bCs/>
          <w:sz w:val="24"/>
        </w:rPr>
        <w:t>3、为便于评价所投产品的质量性能，投标人须提供所有能够证明所投产品性能质量的证明材料，如检测报告、IS09001系列质量管理体系认证及与所投产品相关的知识产权证书等。</w:t>
      </w:r>
    </w:p>
    <w:p>
      <w:pPr>
        <w:adjustRightInd w:val="0"/>
        <w:snapToGrid w:val="0"/>
        <w:ind w:firstLine="480" w:firstLineChars="200"/>
        <w:rPr>
          <w:rFonts w:ascii="宋体" w:hAnsi="宋体"/>
          <w:bCs/>
          <w:sz w:val="24"/>
        </w:rPr>
      </w:pPr>
      <w:r>
        <w:rPr>
          <w:rFonts w:hint="eastAsia" w:ascii="宋体" w:hAnsi="宋体"/>
          <w:bCs/>
          <w:sz w:val="24"/>
        </w:rPr>
        <w:t>4、投标人所投货物必须为原厂原装、全新的、符合国家有关质量标准的产品。</w:t>
      </w:r>
    </w:p>
    <w:p>
      <w:pPr>
        <w:adjustRightInd w:val="0"/>
        <w:snapToGrid w:val="0"/>
        <w:ind w:firstLine="480" w:firstLineChars="200"/>
        <w:rPr>
          <w:rFonts w:ascii="宋体" w:hAnsi="宋体"/>
          <w:bCs/>
          <w:sz w:val="24"/>
        </w:rPr>
      </w:pPr>
      <w:r>
        <w:rPr>
          <w:rFonts w:hint="eastAsia" w:ascii="宋体" w:hAnsi="宋体"/>
          <w:bCs/>
          <w:sz w:val="24"/>
        </w:rPr>
        <w:t>5、设备送到项目实施现场后，中标人与采购人一起按合同设备清单依合同标准进行设备验收。采购人对设备验收合格后，双方共同签署设备验收合格证明。验收中发现设备达不到合同规定的性能指标，或货物有明显损坏，中标人必须更换，并且赔偿由此给采购人造成的损失。验收合格后由中标人按采购人的需求安装在采购人的指定位置。</w:t>
      </w:r>
    </w:p>
    <w:p>
      <w:pPr>
        <w:adjustRightInd w:val="0"/>
        <w:snapToGrid w:val="0"/>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6、交货时间：合同生效日后50日内将合同标的全部交付并安装完毕。</w:t>
      </w:r>
    </w:p>
    <w:p>
      <w:pPr>
        <w:adjustRightInd w:val="0"/>
        <w:snapToGrid w:val="0"/>
        <w:ind w:firstLine="480" w:firstLineChars="200"/>
        <w:rPr>
          <w:rFonts w:ascii="宋体" w:hAnsi="宋体"/>
          <w:bCs/>
          <w:sz w:val="24"/>
        </w:rPr>
      </w:pPr>
      <w:r>
        <w:rPr>
          <w:rFonts w:hint="eastAsia" w:ascii="宋体" w:hAnsi="宋体"/>
          <w:bCs/>
          <w:sz w:val="24"/>
        </w:rPr>
        <w:t>7、验收时需提供全部的技术资料（产品中/英文说明书、中文操作手册和产品合格证书）。</w:t>
      </w:r>
    </w:p>
    <w:p>
      <w:pPr>
        <w:adjustRightInd w:val="0"/>
        <w:snapToGrid w:val="0"/>
        <w:ind w:firstLine="480" w:firstLineChars="200"/>
        <w:rPr>
          <w:rFonts w:ascii="宋体" w:hAnsi="宋体"/>
          <w:bCs/>
          <w:sz w:val="24"/>
        </w:rPr>
      </w:pPr>
      <w:r>
        <w:rPr>
          <w:rFonts w:hint="eastAsia" w:ascii="宋体" w:hAnsi="宋体"/>
          <w:bCs/>
          <w:sz w:val="24"/>
        </w:rPr>
        <w:t>8、货物质量验收办法：</w:t>
      </w:r>
    </w:p>
    <w:p>
      <w:pPr>
        <w:adjustRightInd w:val="0"/>
        <w:snapToGrid w:val="0"/>
        <w:ind w:firstLine="480" w:firstLineChars="200"/>
        <w:rPr>
          <w:rFonts w:ascii="宋体" w:hAnsi="宋体"/>
          <w:bCs/>
          <w:sz w:val="24"/>
        </w:rPr>
      </w:pPr>
      <w:r>
        <w:rPr>
          <w:rFonts w:hint="eastAsia" w:ascii="宋体" w:hAnsi="宋体"/>
          <w:bCs/>
          <w:sz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adjustRightInd w:val="0"/>
        <w:snapToGrid w:val="0"/>
        <w:ind w:firstLine="480" w:firstLineChars="200"/>
        <w:rPr>
          <w:rFonts w:ascii="宋体" w:hAnsi="宋体"/>
          <w:bCs/>
          <w:sz w:val="24"/>
        </w:rPr>
      </w:pPr>
      <w:r>
        <w:rPr>
          <w:rFonts w:hint="eastAsia" w:ascii="宋体" w:hAnsi="宋体"/>
          <w:bCs/>
          <w:sz w:val="24"/>
        </w:rPr>
        <w:t>2）货物在验收时，中标人应提供发票、制造厂家出具的产品合格证书、装箱清单等材料；提供有关货物的操作规程和使用说明书，维护手册、保养修理所需的各种随机工具及相关设计、制造、检验、安装、技术性指导等文件和应由投标人提供的必要文件。</w:t>
      </w:r>
    </w:p>
    <w:p>
      <w:pPr>
        <w:adjustRightInd w:val="0"/>
        <w:snapToGrid w:val="0"/>
        <w:ind w:firstLine="480" w:firstLineChars="200"/>
        <w:rPr>
          <w:rFonts w:ascii="宋体" w:hAnsi="宋体"/>
          <w:bCs/>
          <w:sz w:val="24"/>
        </w:rPr>
      </w:pPr>
      <w:r>
        <w:rPr>
          <w:rFonts w:hint="eastAsia" w:ascii="宋体" w:hAnsi="宋体"/>
          <w:bCs/>
          <w:sz w:val="24"/>
        </w:rPr>
        <w:t>3）设备或软件安装完成后，学校安排专人按照货物技术指标要求和中标人的投标文件相关指标，以及验货清单查验货物主件及零部件是否完好、齐全，带料试机查验货物功能是否达标。质保期内货物出现质量问题，厂家负责免费更换或维修。</w:t>
      </w:r>
    </w:p>
    <w:p>
      <w:pPr>
        <w:adjustRightInd w:val="0"/>
        <w:snapToGrid w:val="0"/>
        <w:ind w:firstLine="480" w:firstLineChars="200"/>
        <w:rPr>
          <w:rFonts w:ascii="宋体" w:hAnsi="宋体"/>
          <w:bCs/>
          <w:sz w:val="24"/>
        </w:rPr>
      </w:pPr>
      <w:r>
        <w:rPr>
          <w:rFonts w:hint="eastAsia" w:ascii="宋体" w:hAnsi="宋体"/>
          <w:bCs/>
          <w:sz w:val="24"/>
        </w:rPr>
        <w:t>9、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pPr>
        <w:adjustRightInd w:val="0"/>
        <w:snapToGrid w:val="0"/>
        <w:ind w:firstLine="480" w:firstLineChars="200"/>
        <w:rPr>
          <w:rFonts w:ascii="宋体" w:hAnsi="宋体"/>
          <w:bCs/>
          <w:sz w:val="24"/>
        </w:rPr>
      </w:pPr>
      <w:r>
        <w:rPr>
          <w:rFonts w:hint="eastAsia" w:ascii="宋体" w:hAnsi="宋体"/>
          <w:bCs/>
          <w:sz w:val="24"/>
        </w:rPr>
        <w:t>10、投标人应列出详细项目实施方案，包括人员姓名、工作经验、学历和在本项目中的职责分工以及项目管理方法论，项目实施管理策略、项目进度控制、项目应急措施等。投标人在中标后，应允许采购人的工作人员及运维人员自实施工作开始即参与本项目的需求分析、详细设计、测试、安装调试等工作并在实施方案中提出协同工作计划。</w:t>
      </w:r>
    </w:p>
    <w:p>
      <w:pPr>
        <w:adjustRightInd w:val="0"/>
        <w:snapToGrid w:val="0"/>
        <w:ind w:firstLine="420" w:firstLineChars="200"/>
      </w:pPr>
    </w:p>
    <w:p>
      <w:pPr>
        <w:adjustRightInd w:val="0"/>
        <w:snapToGrid w:val="0"/>
        <w:ind w:firstLine="482" w:firstLineChars="200"/>
        <w:rPr>
          <w:rFonts w:ascii="宋体" w:hAnsi="宋体"/>
          <w:b/>
          <w:sz w:val="24"/>
        </w:rPr>
      </w:pPr>
      <w:r>
        <w:rPr>
          <w:rFonts w:hint="eastAsia" w:ascii="宋体" w:hAnsi="宋体"/>
          <w:b/>
          <w:sz w:val="24"/>
        </w:rPr>
        <w:t>七、售后服务及培训要求：</w:t>
      </w:r>
    </w:p>
    <w:p>
      <w:pPr>
        <w:adjustRightInd w:val="0"/>
        <w:snapToGrid w:val="0"/>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1、提供不少于3年的免费质保（自验收合格之日起计算）。</w:t>
      </w:r>
    </w:p>
    <w:p>
      <w:pPr>
        <w:adjustRightInd w:val="0"/>
        <w:snapToGrid w:val="0"/>
        <w:ind w:firstLine="480" w:firstLineChars="200"/>
        <w:rPr>
          <w:rFonts w:ascii="宋体" w:hAnsi="宋体"/>
          <w:sz w:val="24"/>
        </w:rPr>
      </w:pPr>
      <w:r>
        <w:rPr>
          <w:rFonts w:hint="eastAsia" w:ascii="宋体" w:hAnsi="宋体"/>
          <w:sz w:val="24"/>
        </w:rPr>
        <w:t>2、在质保期内，对采购人所提出的维修要求做出实质性响应，并提供应急策略；质保期内软件免费升级维护，解决各种系统兼容性问题与技术瑕疵，设备免费维护、维修。质保期过后的升级维护和维修只收取部分工本维护费用。</w:t>
      </w:r>
    </w:p>
    <w:p>
      <w:pPr>
        <w:adjustRightInd w:val="0"/>
        <w:snapToGrid w:val="0"/>
        <w:ind w:firstLine="480" w:firstLineChars="200"/>
        <w:rPr>
          <w:rFonts w:ascii="宋体" w:hAnsi="宋体"/>
          <w:sz w:val="24"/>
        </w:rPr>
      </w:pPr>
      <w:r>
        <w:rPr>
          <w:rFonts w:hint="eastAsia" w:ascii="宋体" w:hAnsi="宋体"/>
          <w:sz w:val="24"/>
        </w:rPr>
        <w:t>3、为采购人提供全面的技术支持，帮助采购人及时解决使用中遇到的技术问题。</w:t>
      </w:r>
    </w:p>
    <w:p>
      <w:pPr>
        <w:adjustRightInd w:val="0"/>
        <w:snapToGrid w:val="0"/>
        <w:ind w:firstLine="480" w:firstLineChars="200"/>
        <w:rPr>
          <w:rFonts w:ascii="宋体" w:hAnsi="宋体"/>
          <w:sz w:val="24"/>
        </w:rPr>
      </w:pPr>
      <w:bookmarkStart w:id="9" w:name="_Toc249150915"/>
      <w:bookmarkStart w:id="10" w:name="_Toc199988043"/>
      <w:r>
        <w:rPr>
          <w:rFonts w:hint="eastAsia" w:ascii="宋体" w:hAnsi="宋体"/>
          <w:sz w:val="24"/>
        </w:rPr>
        <w:t xml:space="preserve">4、现场免费安装、调试整套设备，要求一次达标，质量合格。安装的所有施工及其安全由中标人负责。 </w:t>
      </w:r>
    </w:p>
    <w:p>
      <w:pPr>
        <w:adjustRightInd w:val="0"/>
        <w:snapToGrid w:val="0"/>
        <w:ind w:firstLine="480" w:firstLineChars="200"/>
        <w:rPr>
          <w:rFonts w:ascii="宋体" w:hAnsi="宋体"/>
          <w:sz w:val="24"/>
        </w:rPr>
      </w:pPr>
      <w:r>
        <w:rPr>
          <w:rFonts w:hint="eastAsia" w:ascii="宋体" w:hAnsi="宋体"/>
          <w:sz w:val="24"/>
        </w:rPr>
        <w:t>5、产品验收合格后，应有技术人员对采购人的教学、实训实验人员进行技术培训，至能掌握操作方法和简单的维护后方可离去。现场免费培训使用人员熟练操作。</w:t>
      </w:r>
    </w:p>
    <w:p>
      <w:pPr>
        <w:adjustRightInd w:val="0"/>
        <w:snapToGrid w:val="0"/>
        <w:ind w:firstLine="480" w:firstLineChars="200"/>
        <w:rPr>
          <w:rFonts w:ascii="宋体" w:hAnsi="宋体"/>
          <w:sz w:val="24"/>
        </w:rPr>
      </w:pPr>
      <w:r>
        <w:rPr>
          <w:rFonts w:hint="eastAsia" w:ascii="宋体" w:hAnsi="宋体"/>
          <w:sz w:val="24"/>
        </w:rPr>
        <w:t>6、投标的软件若安装光盘及加密狗损坏，中标人负责免费更换。</w:t>
      </w:r>
    </w:p>
    <w:p>
      <w:pPr>
        <w:adjustRightInd w:val="0"/>
        <w:snapToGrid w:val="0"/>
        <w:ind w:firstLine="480" w:firstLineChars="200"/>
        <w:rPr>
          <w:rFonts w:ascii="宋体" w:hAnsi="宋体"/>
          <w:sz w:val="24"/>
        </w:rPr>
      </w:pPr>
      <w:r>
        <w:rPr>
          <w:rFonts w:hint="eastAsia" w:ascii="宋体" w:hAnsi="宋体"/>
          <w:sz w:val="24"/>
        </w:rPr>
        <w:t>7、投标人能免费提供相关培训和新产品的相关资料及演示光盘等，能提供常年的技术支持与服务。</w:t>
      </w:r>
    </w:p>
    <w:p>
      <w:pPr>
        <w:adjustRightInd w:val="0"/>
        <w:snapToGrid w:val="0"/>
        <w:ind w:firstLine="480" w:firstLineChars="200"/>
        <w:rPr>
          <w:rFonts w:ascii="宋体" w:hAnsi="宋体"/>
          <w:sz w:val="24"/>
        </w:rPr>
      </w:pPr>
      <w:r>
        <w:rPr>
          <w:rFonts w:hint="eastAsia" w:ascii="宋体" w:hAnsi="宋体"/>
          <w:sz w:val="24"/>
        </w:rPr>
        <w:t>8、质保期间，报修响应时间不超过12小时，能在24小时内现场免费维修；保质期后，报修响应时间不超过24小时，72小时上门解决问题，并终身按公司零部件标准费维修。</w:t>
      </w:r>
    </w:p>
    <w:p>
      <w:pPr>
        <w:adjustRightInd w:val="0"/>
        <w:snapToGrid w:val="0"/>
        <w:ind w:firstLine="480" w:firstLineChars="200"/>
        <w:rPr>
          <w:rFonts w:ascii="宋体" w:hAnsi="宋体"/>
          <w:sz w:val="24"/>
        </w:rPr>
      </w:pPr>
      <w:r>
        <w:rPr>
          <w:rFonts w:hint="eastAsia" w:ascii="宋体" w:hAnsi="宋体"/>
          <w:sz w:val="24"/>
        </w:rPr>
        <w:t>9、报关、税费等由中标人自行办理审批、免税等手续，一切费用由中标人承担。</w:t>
      </w:r>
      <w:bookmarkEnd w:id="9"/>
      <w:bookmarkEnd w:id="10"/>
    </w:p>
    <w:p>
      <w:pPr>
        <w:adjustRightInd w:val="0"/>
        <w:snapToGrid w:val="0"/>
        <w:ind w:firstLine="480" w:firstLineChars="200"/>
        <w:rPr>
          <w:rFonts w:ascii="宋体" w:hAnsi="宋体"/>
          <w:sz w:val="24"/>
        </w:rPr>
      </w:pPr>
    </w:p>
    <w:p>
      <w:pPr>
        <w:adjustRightInd w:val="0"/>
        <w:snapToGrid w:val="0"/>
        <w:ind w:firstLine="482" w:firstLineChars="200"/>
        <w:rPr>
          <w:rFonts w:ascii="宋体" w:hAnsi="宋体"/>
          <w:sz w:val="24"/>
        </w:rPr>
      </w:pPr>
      <w:r>
        <w:rPr>
          <w:rFonts w:hint="eastAsia" w:ascii="宋体" w:hAnsi="宋体" w:cs="宋体"/>
          <w:b/>
          <w:sz w:val="24"/>
        </w:rPr>
        <w:t>八、其他要求</w:t>
      </w:r>
    </w:p>
    <w:p>
      <w:pPr>
        <w:adjustRightInd w:val="0"/>
        <w:snapToGrid w:val="0"/>
        <w:ind w:firstLine="482" w:firstLineChars="200"/>
        <w:jc w:val="left"/>
        <w:rPr>
          <w:rFonts w:ascii="宋体" w:hAnsi="宋体" w:cs="宋体"/>
          <w:b/>
          <w:bCs/>
          <w:sz w:val="24"/>
        </w:rPr>
      </w:pPr>
      <w:r>
        <w:rPr>
          <w:rFonts w:hint="eastAsia" w:ascii="宋体" w:hAnsi="宋体" w:cs="宋体"/>
          <w:b/>
          <w:bCs/>
          <w:sz w:val="24"/>
        </w:rPr>
        <w:t>1、中标人负责配合用户完成验收相关工作，并持中标（成交）通知书、合同、发票、入库单等至设备供应科办理付款相关手续。</w:t>
      </w:r>
    </w:p>
    <w:p>
      <w:pPr>
        <w:adjustRightInd w:val="0"/>
        <w:snapToGrid w:val="0"/>
        <w:ind w:firstLine="480" w:firstLineChars="200"/>
        <w:jc w:val="left"/>
        <w:rPr>
          <w:rFonts w:ascii="宋体" w:hAnsi="宋体" w:cs="宋体"/>
          <w:sz w:val="24"/>
        </w:rPr>
      </w:pPr>
      <w:r>
        <w:rPr>
          <w:rFonts w:hint="eastAsia" w:ascii="宋体" w:hAnsi="宋体" w:cs="宋体"/>
          <w:sz w:val="24"/>
        </w:rPr>
        <w:t>2、中标人须对最终选定的设备设计详细实施方案，并严格按照招标文件和经采购人批准的设计方案进行实施。批准设计并不减轻中标人对本项目所承担的义务和责任。</w:t>
      </w:r>
    </w:p>
    <w:p>
      <w:pPr>
        <w:adjustRightInd w:val="0"/>
        <w:snapToGrid w:val="0"/>
        <w:ind w:firstLine="480" w:firstLineChars="200"/>
        <w:jc w:val="left"/>
        <w:rPr>
          <w:rFonts w:ascii="宋体" w:hAnsi="宋体" w:cs="宋体"/>
          <w:sz w:val="24"/>
        </w:rPr>
      </w:pPr>
      <w:r>
        <w:rPr>
          <w:rFonts w:hint="eastAsia" w:ascii="宋体" w:hAnsi="宋体" w:cs="宋体"/>
          <w:sz w:val="24"/>
        </w:rPr>
        <w:t>3、设备布置须考虑维护操作方便、布局整齐美观和满足经济合理的要求，且严格按设备的相关安装规范执行。</w:t>
      </w:r>
    </w:p>
    <w:p>
      <w:pPr>
        <w:adjustRightInd w:val="0"/>
        <w:snapToGrid w:val="0"/>
        <w:ind w:firstLine="480" w:firstLineChars="200"/>
        <w:jc w:val="left"/>
        <w:rPr>
          <w:rFonts w:ascii="宋体" w:hAnsi="宋体" w:cs="宋体"/>
          <w:sz w:val="24"/>
        </w:rPr>
      </w:pPr>
      <w:r>
        <w:rPr>
          <w:rFonts w:hint="eastAsia" w:ascii="宋体" w:hAnsi="宋体" w:cs="宋体"/>
          <w:sz w:val="24"/>
        </w:rPr>
        <w:t>4、中标人负责完成本项目所有货物的采购、发运至规定地点、保管、安装、调试、系统联调、安装调试检验以及指导采购人进行的试运行。货物发运至规定地点后，中标人负责保管，直至试运行检验合格后将货物移交给采购人和最终用户(货物移交给采购人和最终用户后由最终用户保管)。</w:t>
      </w:r>
    </w:p>
    <w:p>
      <w:pPr>
        <w:adjustRightInd w:val="0"/>
        <w:snapToGrid w:val="0"/>
        <w:ind w:firstLine="480" w:firstLineChars="200"/>
        <w:jc w:val="left"/>
        <w:rPr>
          <w:rFonts w:ascii="宋体" w:hAnsi="宋体" w:cs="宋体"/>
          <w:sz w:val="24"/>
        </w:rPr>
      </w:pPr>
      <w:r>
        <w:rPr>
          <w:rFonts w:hint="eastAsia" w:ascii="宋体" w:hAnsi="宋体" w:cs="宋体"/>
          <w:sz w:val="24"/>
        </w:rPr>
        <w:t>5、本项目需送货到采购人指定地点，并由中标人负责卸货并安排人员进行安装调试及售后服务，投标人投标报价中应包含此费用。</w:t>
      </w:r>
    </w:p>
    <w:p>
      <w:pPr>
        <w:adjustRightInd w:val="0"/>
        <w:snapToGrid w:val="0"/>
        <w:ind w:firstLine="480" w:firstLineChars="200"/>
        <w:jc w:val="left"/>
        <w:rPr>
          <w:rFonts w:ascii="宋体" w:hAnsi="宋体" w:cs="宋体"/>
          <w:sz w:val="24"/>
        </w:rPr>
      </w:pPr>
      <w:r>
        <w:rPr>
          <w:rFonts w:hint="eastAsia" w:ascii="宋体" w:hAnsi="宋体" w:cs="宋体"/>
          <w:sz w:val="24"/>
        </w:rPr>
        <w:t>6、投标人报价包含：包装、运输、安装、调试、使用培训、税费等全部费用。</w:t>
      </w:r>
    </w:p>
    <w:p>
      <w:pPr>
        <w:spacing w:line="500" w:lineRule="exact"/>
        <w:rPr>
          <w:bCs/>
          <w:kern w:val="0"/>
          <w:sz w:val="24"/>
        </w:rPr>
      </w:pPr>
    </w:p>
    <w:p>
      <w:pPr>
        <w:widowControl/>
        <w:ind w:firstLine="2642" w:firstLineChars="940"/>
        <w:jc w:val="left"/>
        <w:rPr>
          <w:rFonts w:cs="华文楷体" w:asciiTheme="minorEastAsia" w:hAnsiTheme="minorEastAsia" w:eastAsiaTheme="minorEastAsia"/>
          <w:b/>
          <w:bCs/>
          <w:color w:val="000000" w:themeColor="text1"/>
          <w:kern w:val="0"/>
          <w:sz w:val="28"/>
          <w:szCs w:val="20"/>
          <w14:textFill>
            <w14:solidFill>
              <w14:schemeClr w14:val="tx1"/>
            </w14:solidFill>
          </w14:textFill>
        </w:rPr>
      </w:pPr>
      <w:r>
        <w:rPr>
          <w:rFonts w:hint="eastAsia" w:cs="华文楷体" w:asciiTheme="minorEastAsia" w:hAnsiTheme="minorEastAsia" w:eastAsiaTheme="minorEastAsia"/>
          <w:b/>
          <w:bCs/>
          <w:color w:val="000000" w:themeColor="text1"/>
          <w:kern w:val="0"/>
          <w:sz w:val="28"/>
          <w:szCs w:val="20"/>
          <w14:textFill>
            <w14:solidFill>
              <w14:schemeClr w14:val="tx1"/>
            </w14:solidFill>
          </w14:textFill>
        </w:rPr>
        <w:t xml:space="preserve">第三章    响应文件格式 </w:t>
      </w:r>
    </w:p>
    <w:p>
      <w:pPr>
        <w:pStyle w:val="30"/>
        <w:spacing w:before="0" w:line="400" w:lineRule="exact"/>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一、供应商提交文件须知</w:t>
      </w:r>
    </w:p>
    <w:p>
      <w:pPr>
        <w:pStyle w:val="28"/>
        <w:numPr>
          <w:ilvl w:val="0"/>
          <w:numId w:val="0"/>
        </w:numPr>
        <w:spacing w:line="40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1.混乱的编排以致响应文件被误读或采购人查找不到有效文件，后果由供应商承担。</w:t>
      </w:r>
    </w:p>
    <w:p>
      <w:pPr>
        <w:pStyle w:val="28"/>
        <w:numPr>
          <w:ilvl w:val="0"/>
          <w:numId w:val="0"/>
        </w:numPr>
        <w:spacing w:line="40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2.所附表格中要求回答的全部问题和信息都必须正面回答。</w:t>
      </w:r>
    </w:p>
    <w:p>
      <w:pPr>
        <w:pStyle w:val="28"/>
        <w:numPr>
          <w:ilvl w:val="0"/>
          <w:numId w:val="0"/>
        </w:numPr>
        <w:spacing w:line="40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3.采购人将依据供应商提交的资料并根据自己的判断，决定供应商履行合同合格性及能力。供应商提交的材料将被保密保存，但不退还。</w:t>
      </w: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28"/>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30"/>
        <w:spacing w:before="0" w:line="400" w:lineRule="exact"/>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二、响应文件格式如下：</w:t>
      </w:r>
    </w:p>
    <w:p>
      <w:pPr>
        <w:pStyle w:val="30"/>
        <w:spacing w:before="0" w:line="400" w:lineRule="exact"/>
        <w:jc w:val="both"/>
        <w:outlineLvl w:val="9"/>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(一)投标函</w:t>
      </w:r>
    </w:p>
    <w:p>
      <w:pPr>
        <w:pStyle w:val="33"/>
        <w:adjustRightInd/>
        <w:spacing w:line="340" w:lineRule="exact"/>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u w:val="single"/>
          <w14:textFill>
            <w14:solidFill>
              <w14:schemeClr w14:val="tx1"/>
            </w14:solidFill>
          </w14:textFill>
        </w:rPr>
        <w:t>江苏师范大学</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供应商全称        </w:t>
      </w:r>
      <w:r>
        <w:rPr>
          <w:rFonts w:hint="eastAsia" w:cs="华文楷体" w:asciiTheme="minorEastAsia" w:hAnsiTheme="minorEastAsia" w:eastAsiaTheme="minorEastAsia"/>
          <w:color w:val="000000" w:themeColor="text1"/>
          <w:sz w:val="24"/>
          <w14:textFill>
            <w14:solidFill>
              <w14:schemeClr w14:val="tx1"/>
            </w14:solidFill>
          </w14:textFill>
        </w:rPr>
        <w:t>授权</w:t>
      </w:r>
      <w:r>
        <w:rPr>
          <w:rFonts w:hint="eastAsia" w:ascii="宋体" w:hAnsi="宋体"/>
          <w:color w:val="000000" w:themeColor="text1"/>
          <w:sz w:val="24"/>
          <w:u w:val="single"/>
          <w14:textFill>
            <w14:solidFill>
              <w14:schemeClr w14:val="tx1"/>
            </w14:solidFill>
          </w14:textFill>
        </w:rPr>
        <w:t xml:space="preserve">供应商代表姓名 (职务、职称)   </w:t>
      </w:r>
      <w:r>
        <w:rPr>
          <w:rFonts w:hint="eastAsia" w:cs="华文楷体" w:asciiTheme="minorEastAsia" w:hAnsiTheme="minorEastAsia" w:eastAsiaTheme="minorEastAsia"/>
          <w:color w:val="000000" w:themeColor="text1"/>
          <w:sz w:val="24"/>
          <w14:textFill>
            <w14:solidFill>
              <w14:schemeClr w14:val="tx1"/>
            </w14:solidFill>
          </w14:textFill>
        </w:rPr>
        <w:t>为我方代表，参加贵方组织的</w:t>
      </w:r>
      <w:r>
        <w:rPr>
          <w:rFonts w:hint="eastAsia" w:ascii="宋体" w:hAnsi="宋体"/>
          <w:color w:val="000000" w:themeColor="text1"/>
          <w:sz w:val="24"/>
          <w:u w:val="single"/>
          <w14:textFill>
            <w14:solidFill>
              <w14:schemeClr w14:val="tx1"/>
            </w14:solidFill>
          </w14:textFill>
        </w:rPr>
        <w:t xml:space="preserve">     项目名称与项目编号     </w:t>
      </w:r>
      <w:r>
        <w:rPr>
          <w:rFonts w:hint="eastAsia" w:cs="华文楷体" w:asciiTheme="minorEastAsia" w:hAnsiTheme="minorEastAsia" w:eastAsiaTheme="minorEastAsia"/>
          <w:color w:val="000000" w:themeColor="text1"/>
          <w:sz w:val="24"/>
          <w14:textFill>
            <w14:solidFill>
              <w14:schemeClr w14:val="tx1"/>
            </w14:solidFill>
          </w14:textFill>
        </w:rPr>
        <w:t>招标的有关活动，并对此项目进行投标，投标总价为</w:t>
      </w:r>
      <w:r>
        <w:rPr>
          <w:rFonts w:hint="eastAsia" w:ascii="宋体" w:hAnsi="宋体"/>
          <w:color w:val="000000" w:themeColor="text1"/>
          <w:sz w:val="24"/>
          <w:u w:val="single"/>
          <w14:textFill>
            <w14:solidFill>
              <w14:schemeClr w14:val="tx1"/>
            </w14:solidFill>
          </w14:textFill>
        </w:rPr>
        <w:t>（大写）         元（小写：       元）</w:t>
      </w:r>
      <w:r>
        <w:rPr>
          <w:rFonts w:hint="eastAsia" w:cs="华文楷体" w:asciiTheme="minorEastAsia" w:hAnsiTheme="minorEastAsia" w:eastAsiaTheme="minorEastAsia"/>
          <w:color w:val="000000" w:themeColor="text1"/>
          <w:sz w:val="24"/>
          <w14:textFill>
            <w14:solidFill>
              <w14:schemeClr w14:val="tx1"/>
            </w14:solidFill>
          </w14:textFill>
        </w:rPr>
        <w:t>，供货安装期为：天，质保期为：年。为此：</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1.我方同意在本项目磋商文件中规定的投标日起</w:t>
      </w:r>
      <w:r>
        <w:rPr>
          <w:rFonts w:hint="eastAsia" w:cs="华文楷体" w:asciiTheme="minorEastAsia" w:hAnsiTheme="minorEastAsia" w:eastAsiaTheme="minorEastAsia"/>
          <w:color w:val="000000" w:themeColor="text1"/>
          <w:sz w:val="24"/>
          <w:szCs w:val="24"/>
          <w:u w:val="single"/>
          <w14:textFill>
            <w14:solidFill>
              <w14:schemeClr w14:val="tx1"/>
            </w14:solidFill>
          </w14:textFill>
        </w:rPr>
        <w:t>90日内</w:t>
      </w:r>
      <w:r>
        <w:rPr>
          <w:rFonts w:hint="eastAsia" w:cs="华文楷体" w:asciiTheme="minorEastAsia" w:hAnsiTheme="minorEastAsia" w:eastAsiaTheme="minorEastAsia"/>
          <w:color w:val="000000" w:themeColor="text1"/>
          <w:sz w:val="24"/>
          <w:szCs w:val="24"/>
          <w14:textFill>
            <w14:solidFill>
              <w14:schemeClr w14:val="tx1"/>
            </w14:solidFill>
          </w14:textFill>
        </w:rPr>
        <w:t>遵守本文中的承诺且在此期限期满之前均具有约束力。</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2.我方承诺已经具备《中华人民共和国政府采购法》中规定的参加政府采购活动的供应商应当具备及本项目规定的资格条件。</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3.提供投标须知规定的全部响应文件，包括响应文件</w:t>
      </w:r>
      <w:r>
        <w:rPr>
          <w:rFonts w:hint="eastAsia" w:cs="华文楷体" w:asciiTheme="minorEastAsia" w:hAnsiTheme="minorEastAsia" w:eastAsiaTheme="minorEastAsia"/>
          <w:b/>
          <w:color w:val="000000" w:themeColor="text1"/>
          <w:sz w:val="24"/>
          <w:szCs w:val="24"/>
          <w14:textFill>
            <w14:solidFill>
              <w14:schemeClr w14:val="tx1"/>
            </w14:solidFill>
          </w14:textFill>
        </w:rPr>
        <w:t>正本1份，副本3份。</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4.按磋商文件要求提供和交付的货物和服务的投标详见报价明细表及服务方案。</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5.保证忠实执行双方签订的合同，并承担合同规定的责任和义务。</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6.保证遵守磋商文件的各项规定。</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7.如果在规定的投标有效期内撤回投标，我方同意将被列入不良记录名单。</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8.我方完全理解贵方不一定接受最低价的投标或收到的任何投标。</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9.我方愿意向贵方提供任何与本项投标有关的数据、情况和技术资料。如果贵方需要，我方愿意提供我方做出的一切承诺的证明材料。</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9.我方已详细审核全部响应文件，包括响应文件修改书（如果有的话）、参考资料及有关附件，确认无误。</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10.我方承诺：采购人如果需追加采购本项目磋商文件所列货物及相关服务的，在不改变合同其他实质性条款的前提下，按相同或更优惠的折扣保证供货。</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11.我方承诺接受磋商文件中《成交合同》的全部条款且无任何异议。</w:t>
      </w:r>
    </w:p>
    <w:p>
      <w:pPr>
        <w:pStyle w:val="28"/>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提供虚假材料谋取成交的；</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采取不正当手段诋毁、排挤其他供应商的；</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与采购人、其它供应商或者采购人工作人员恶意串通的；</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向采购人、采购人工作人员行贿或者提供其他不正当利益的；</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未经采购人同意，在采购过程中与采购人进行协商招标的；</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拒绝有关部门监督检查或提供虚假情况的；</w:t>
      </w:r>
    </w:p>
    <w:p>
      <w:pPr>
        <w:numPr>
          <w:ilvl w:val="0"/>
          <w:numId w:val="4"/>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地址：邮编：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电话：传真：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供应商授权代表（签名或盖章）：                 联系电话：</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供应商：</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（公章）</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r>
        <w:rPr>
          <w:rFonts w:hint="eastAsia" w:cs="华文楷体" w:asciiTheme="minorEastAsia" w:hAnsiTheme="minorEastAsia" w:eastAsiaTheme="minorEastAsia"/>
          <w:color w:val="000000" w:themeColor="text1"/>
          <w:sz w:val="24"/>
          <w14:textFill>
            <w14:solidFill>
              <w14:schemeClr w14:val="tx1"/>
            </w14:solidFill>
          </w14:textFill>
        </w:rPr>
        <w:tab/>
      </w:r>
      <w:r>
        <w:rPr>
          <w:rFonts w:hint="eastAsia" w:cs="华文楷体" w:asciiTheme="minorEastAsia" w:hAnsiTheme="minorEastAsia" w:eastAsiaTheme="minorEastAsia"/>
          <w:color w:val="000000" w:themeColor="text1"/>
          <w:sz w:val="24"/>
          <w14:textFill>
            <w14:solidFill>
              <w14:schemeClr w14:val="tx1"/>
            </w14:solidFill>
          </w14:textFill>
        </w:rPr>
        <w:t xml:space="preserve">    年    月    日</w:t>
      </w:r>
      <w:bookmarkStart w:id="11" w:name="_Toc21001363"/>
      <w:bookmarkStart w:id="12" w:name="_Toc36287943"/>
      <w:bookmarkStart w:id="13" w:name="_Toc20642290"/>
      <w:bookmarkStart w:id="14" w:name="_Toc20816120"/>
      <w:bookmarkStart w:id="15" w:name="_Toc21000519"/>
      <w:bookmarkStart w:id="16" w:name="_Toc20988289"/>
    </w:p>
    <w:p>
      <w:pPr>
        <w:pStyle w:val="27"/>
        <w:spacing w:before="0" w:after="0" w:line="340" w:lineRule="exact"/>
        <w:jc w:val="both"/>
        <w:outlineLvl w:val="9"/>
        <w:rPr>
          <w:rFonts w:cs="华文楷体" w:asciiTheme="majorEastAsia" w:hAnsiTheme="majorEastAsia" w:eastAsiaTheme="majorEastAsia"/>
          <w:color w:val="000000" w:themeColor="text1"/>
          <w:sz w:val="24"/>
          <w:szCs w:val="24"/>
          <w14:textFill>
            <w14:solidFill>
              <w14:schemeClr w14:val="tx1"/>
            </w14:solidFill>
          </w14:textFill>
        </w:rPr>
      </w:pPr>
      <w:r>
        <w:rPr>
          <w:rFonts w:hint="eastAsia" w:cs="华文楷体" w:asciiTheme="majorEastAsia" w:hAnsiTheme="majorEastAsia" w:eastAsiaTheme="majorEastAsia"/>
          <w:color w:val="000000" w:themeColor="text1"/>
          <w:sz w:val="24"/>
          <w:szCs w:val="24"/>
          <w14:textFill>
            <w14:solidFill>
              <w14:schemeClr w14:val="tx1"/>
            </w14:solidFill>
          </w14:textFill>
        </w:rPr>
        <w:t>(二)法定代表人授权委托书</w:t>
      </w:r>
      <w:bookmarkEnd w:id="11"/>
      <w:bookmarkEnd w:id="12"/>
      <w:bookmarkEnd w:id="13"/>
      <w:bookmarkEnd w:id="14"/>
      <w:bookmarkEnd w:id="15"/>
      <w:bookmarkEnd w:id="16"/>
    </w:p>
    <w:p>
      <w:pPr>
        <w:spacing w:line="340" w:lineRule="exact"/>
        <w:rPr>
          <w:rFonts w:asciiTheme="majorEastAsia" w:hAnsiTheme="majorEastAsia" w:eastAsiaTheme="majorEastAsia"/>
          <w:sz w:val="24"/>
        </w:rPr>
      </w:pPr>
      <w:r>
        <w:rPr>
          <w:rFonts w:hint="eastAsia" w:asciiTheme="majorEastAsia" w:hAnsiTheme="majorEastAsia" w:eastAsiaTheme="majorEastAsia"/>
          <w:sz w:val="24"/>
          <w:u w:val="single"/>
        </w:rPr>
        <w:t>江苏师范大学</w:t>
      </w:r>
      <w:r>
        <w:rPr>
          <w:rFonts w:hint="eastAsia" w:asciiTheme="majorEastAsia" w:hAnsiTheme="majorEastAsia" w:eastAsiaTheme="majorEastAsia"/>
          <w:sz w:val="24"/>
        </w:rPr>
        <w:t>：</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宋体" w:hAnsi="宋体"/>
          <w:sz w:val="24"/>
        </w:rPr>
        <w:t>注册于</w:t>
      </w:r>
      <w:r>
        <w:rPr>
          <w:rFonts w:hint="eastAsia" w:ascii="宋体" w:hAnsi="宋体"/>
          <w:sz w:val="24"/>
          <w:u w:val="single"/>
        </w:rPr>
        <w:t xml:space="preserve">    （供应商住址）    </w:t>
      </w:r>
      <w:r>
        <w:rPr>
          <w:rFonts w:hint="eastAsia" w:ascii="宋体" w:hAnsi="宋体"/>
          <w:sz w:val="24"/>
        </w:rPr>
        <w:t>的</w:t>
      </w:r>
      <w:r>
        <w:rPr>
          <w:rFonts w:hint="eastAsia" w:ascii="宋体" w:hAnsi="宋体"/>
          <w:sz w:val="24"/>
          <w:u w:val="single"/>
        </w:rPr>
        <w:t xml:space="preserve">   （供应商名称）  </w:t>
      </w:r>
      <w:r>
        <w:rPr>
          <w:rFonts w:hint="eastAsia" w:ascii="宋体" w:hAnsi="宋体"/>
          <w:sz w:val="24"/>
        </w:rPr>
        <w:t>法定代表人</w:t>
      </w:r>
      <w:r>
        <w:rPr>
          <w:rFonts w:hint="eastAsia" w:ascii="宋体" w:hAnsi="宋体"/>
          <w:sz w:val="24"/>
          <w:u w:val="single"/>
        </w:rPr>
        <w:t xml:space="preserve">   （法定代表人姓名、职务）   </w:t>
      </w:r>
      <w:r>
        <w:rPr>
          <w:rFonts w:hint="eastAsia" w:ascii="宋体" w:hAnsi="宋体"/>
          <w:sz w:val="24"/>
        </w:rPr>
        <w:t>代表本公司授权在下面签字的</w:t>
      </w:r>
      <w:r>
        <w:rPr>
          <w:rFonts w:hint="eastAsia" w:ascii="宋体" w:hAnsi="宋体"/>
          <w:sz w:val="24"/>
          <w:u w:val="single"/>
        </w:rPr>
        <w:t>（供应商代表姓名、职务）</w:t>
      </w:r>
      <w:r>
        <w:rPr>
          <w:rFonts w:hint="eastAsia" w:ascii="宋体" w:hAnsi="宋体"/>
          <w:sz w:val="24"/>
        </w:rPr>
        <w:t>为本公司的合法代理人。就贵方组织的项目，项目名称：，项目编号：，该代理人可以本公司名义处理一切与之有关的事务。</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本授权书于    年  月  日签字生效，特此声明。</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法定代表人印刷体姓名（签字或盖章）：</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供应商授权代表姓名（签字或盖章）：</w:t>
      </w:r>
    </w:p>
    <w:p>
      <w:pPr>
        <w:spacing w:line="3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供应商全称（公章）：</w:t>
      </w:r>
      <w:r>
        <w:rPr>
          <w:rFonts w:hint="eastAsia" w:asciiTheme="majorEastAsia" w:hAnsiTheme="majorEastAsia" w:eastAsiaTheme="majorEastAsia"/>
          <w:sz w:val="24"/>
        </w:rPr>
        <w:tab/>
      </w:r>
      <w:r>
        <w:rPr>
          <w:rFonts w:hint="eastAsia" w:asciiTheme="majorEastAsia" w:hAnsiTheme="majorEastAsia" w:eastAsiaTheme="majorEastAsia"/>
          <w:sz w:val="24"/>
        </w:rPr>
        <w:tab/>
      </w:r>
    </w:p>
    <w:p>
      <w:pPr>
        <w:spacing w:line="380" w:lineRule="exact"/>
        <w:ind w:firstLine="5520" w:firstLineChars="2300"/>
        <w:jc w:val="left"/>
        <w:rPr>
          <w:rFonts w:asciiTheme="majorEastAsia" w:hAnsiTheme="majorEastAsia" w:eastAsiaTheme="majorEastAsia"/>
          <w:sz w:val="24"/>
        </w:rPr>
      </w:pPr>
      <w:r>
        <w:rPr>
          <w:rFonts w:hint="eastAsia" w:asciiTheme="majorEastAsia" w:hAnsiTheme="majorEastAsia" w:eastAsiaTheme="majorEastAsia"/>
          <w:sz w:val="24"/>
        </w:rPr>
        <w:t>日期：</w:t>
      </w:r>
      <w:r>
        <w:rPr>
          <w:rFonts w:hint="eastAsia" w:asciiTheme="majorEastAsia" w:hAnsiTheme="majorEastAsia" w:eastAsiaTheme="majorEastAsia"/>
          <w:sz w:val="24"/>
        </w:rPr>
        <w:tab/>
      </w:r>
      <w:r>
        <w:rPr>
          <w:rFonts w:hint="eastAsia" w:asciiTheme="majorEastAsia" w:hAnsiTheme="majorEastAsia" w:eastAsiaTheme="majorEastAsia"/>
          <w:sz w:val="24"/>
        </w:rPr>
        <w:t xml:space="preserve">    年    月    日</w:t>
      </w:r>
    </w:p>
    <w:p>
      <w:pPr>
        <w:spacing w:line="340" w:lineRule="exact"/>
        <w:rPr>
          <w:rFonts w:cs="华文楷体" w:asciiTheme="minorEastAsia" w:hAnsiTheme="minorEastAsia" w:eastAsiaTheme="minorEastAsia"/>
          <w:color w:val="000000" w:themeColor="text1"/>
          <w14:textFill>
            <w14:solidFill>
              <w14:schemeClr w14:val="tx1"/>
            </w14:solidFill>
          </w14:textFill>
        </w:rPr>
      </w:pPr>
      <w:r>
        <w:rPr>
          <w:rFonts w:cs="华文楷体" w:asciiTheme="minorEastAsia" w:hAnsiTheme="minorEastAsia" w:eastAsiaTheme="minorEastAsia"/>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1638300"/>
                <wp:effectExtent l="5080" t="4445" r="8890" b="508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w:t>
                            </w:r>
                            <w:r>
                              <w:rPr>
                                <w:rFonts w:hint="eastAsia" w:asciiTheme="majorEastAsia" w:hAnsiTheme="majorEastAsia" w:eastAsiaTheme="majorEastAsia"/>
                                <w:sz w:val="24"/>
                              </w:rPr>
                              <w:t>授权代表</w:t>
                            </w:r>
                            <w:r>
                              <w:rPr>
                                <w:rFonts w:hint="eastAsia" w:ascii="宋体" w:hAnsi="宋体"/>
                                <w:sz w:val="24"/>
                              </w:rPr>
                              <w:t>二代身份证正面复印件粘贴处）</w:t>
                            </w:r>
                          </w:p>
                        </w:txbxContent>
                      </wps:txbx>
                      <wps:bodyPr rot="0" vert="horz" wrap="square" lIns="91439" tIns="45720" rIns="91439" bIns="45720" anchor="t" anchorCtr="0" upright="1">
                        <a:noAutofit/>
                      </wps:bodyPr>
                    </wps:wsp>
                  </a:graphicData>
                </a:graphic>
              </wp:anchor>
            </w:drawing>
          </mc:Choice>
          <mc:Fallback>
            <w:pict>
              <v:shape id="_x0000_s1026" o:spid="_x0000_s1026" o:spt="202" type="#_x0000_t202" style="position:absolute;left:0pt;margin-left:35.85pt;margin-top:14.9pt;height:129pt;width:376.15pt;mso-wrap-distance-bottom:0pt;mso-wrap-distance-left:9pt;mso-wrap-distance-right:9pt;mso-wrap-distance-top:0pt;z-index:251659264;mso-width-relative:page;mso-height-relative:page;" fillcolor="#FFFFFF" filled="t" stroked="t" coordsize="21600,21600" o:gfxdata="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29rF12AAAAAkBAAAPAAAAAAAA&#10;AAEAIAAAACIAAABkcnMvZG93bnJldi54bWxQSwECFAAUAAAACACHTuJARaTpj0sCAACVBAAADgAA&#10;AAAAAAABACAAAAAnAQAAZHJzL2Uyb0RvYy54bWxQSwUGAAAAAAYABgBZAQAA5AUAAAAA&#10;">
                <v:fill on="t" focussize="0,0"/>
                <v:stroke color="#000000" miterlimit="8" joinstyle="miter"/>
                <v:imagedata o:title=""/>
                <o:lock v:ext="edit" aspectratio="f"/>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w:t>
                      </w:r>
                      <w:r>
                        <w:rPr>
                          <w:rFonts w:hint="eastAsia" w:asciiTheme="majorEastAsia" w:hAnsiTheme="majorEastAsia" w:eastAsiaTheme="majorEastAsia"/>
                          <w:sz w:val="24"/>
                        </w:rPr>
                        <w:t>授权代表</w:t>
                      </w:r>
                      <w:r>
                        <w:rPr>
                          <w:rFonts w:hint="eastAsia" w:ascii="宋体" w:hAnsi="宋体"/>
                          <w:sz w:val="24"/>
                        </w:rPr>
                        <w:t>二代身份证正面复印件粘贴处）</w:t>
                      </w:r>
                    </w:p>
                  </w:txbxContent>
                </v:textbox>
                <w10:wrap type="square"/>
              </v:shape>
            </w:pict>
          </mc:Fallback>
        </mc:AlternateContent>
      </w:r>
      <w:bookmarkStart w:id="17" w:name="_Toc86202638"/>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widowControl/>
        <w:jc w:val="left"/>
        <w:rPr>
          <w:rFonts w:cs="华文楷体" w:asciiTheme="minorEastAsia" w:hAnsiTheme="minorEastAsia" w:eastAsiaTheme="minorEastAsia"/>
          <w:b/>
          <w:color w:val="000000" w:themeColor="text1"/>
          <w:sz w:val="24"/>
          <w14:textFill>
            <w14:solidFill>
              <w14:schemeClr w14:val="tx1"/>
            </w14:solidFill>
          </w14:textFill>
        </w:rPr>
      </w:pPr>
      <w:r>
        <w:rPr>
          <w:rFonts w:cs="华文楷体" w:asciiTheme="minorEastAsia" w:hAnsiTheme="minorEastAsia" w:eastAsiaTheme="minorEastAsia"/>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477520</wp:posOffset>
                </wp:positionH>
                <wp:positionV relativeFrom="paragraph">
                  <wp:posOffset>733425</wp:posOffset>
                </wp:positionV>
                <wp:extent cx="4777105" cy="1877060"/>
                <wp:effectExtent l="5080" t="4445" r="8890" b="1397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w:t>
                            </w:r>
                            <w:r>
                              <w:rPr>
                                <w:rFonts w:hint="eastAsia" w:asciiTheme="majorEastAsia" w:hAnsiTheme="majorEastAsia" w:eastAsiaTheme="majorEastAsia"/>
                                <w:sz w:val="24"/>
                              </w:rPr>
                              <w:t>授权代表</w:t>
                            </w:r>
                            <w:r>
                              <w:rPr>
                                <w:rFonts w:hint="eastAsia" w:ascii="宋体" w:hAnsi="宋体"/>
                                <w:sz w:val="24"/>
                              </w:rPr>
                              <w:t>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2" o:spid="_x0000_s1026" o:spt="202" type="#_x0000_t202" style="position:absolute;left:0pt;margin-left:37.6pt;margin-top:57.75pt;height:147.8pt;width:376.15pt;mso-wrap-distance-bottom:0pt;mso-wrap-distance-left:9pt;mso-wrap-distance-right:9pt;mso-wrap-distance-top:0pt;z-index:251660288;mso-width-relative:page;mso-height-relative:page;" fillcolor="#FFFFFF" filled="t" stroked="t" coordsize="21600,21600" o:gfxdata="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VjZtNgAAAAKAQAADwAAAAAAAAAB&#10;ACAAAAAiAAAAZHJzL2Rvd25yZXYueG1sUEsBAhQAFAAAAAgAh07iQN9+vtxJAgAAlQQAAA4AAAAA&#10;AAAAAQAgAAAAJwEAAGRycy9lMm9Eb2MueG1sUEsFBgAAAAAGAAYAWQEAAOIFAAAAAA==&#10;">
                <v:fill on="t" focussize="0,0"/>
                <v:stroke color="#000000" miterlimit="8" joinstyle="miter"/>
                <v:imagedata o:title=""/>
                <o:lock v:ext="edit" aspectratio="f"/>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w:t>
                      </w:r>
                      <w:r>
                        <w:rPr>
                          <w:rFonts w:hint="eastAsia" w:asciiTheme="majorEastAsia" w:hAnsiTheme="majorEastAsia" w:eastAsiaTheme="majorEastAsia"/>
                          <w:sz w:val="24"/>
                        </w:rPr>
                        <w:t>授权代表</w:t>
                      </w:r>
                      <w:r>
                        <w:rPr>
                          <w:rFonts w:hint="eastAsia" w:ascii="宋体" w:hAnsi="宋体"/>
                          <w:sz w:val="24"/>
                        </w:rPr>
                        <w:t>二代身份证反面复印件粘贴处）</w:t>
                      </w:r>
                    </w:p>
                  </w:txbxContent>
                </v:textbox>
                <w10:wrap type="square"/>
              </v:shape>
            </w:pict>
          </mc:Fallback>
        </mc:AlternateContent>
      </w:r>
      <w:r>
        <w:rPr>
          <w:rFonts w:cs="华文楷体" w:asciiTheme="minorEastAsia" w:hAnsiTheme="minorEastAsia" w:eastAsiaTheme="minorEastAsia"/>
          <w:b/>
          <w:color w:val="000000" w:themeColor="text1"/>
          <w:sz w:val="24"/>
          <w14:textFill>
            <w14:solidFill>
              <w14:schemeClr w14:val="tx1"/>
            </w14:solidFill>
          </w14:textFill>
        </w:rPr>
        <w:br w:type="page"/>
      </w:r>
    </w:p>
    <w:p>
      <w:pPr>
        <w:spacing w:line="400" w:lineRule="exact"/>
        <w:rPr>
          <w:rFonts w:cs="华文楷体" w:asciiTheme="minorEastAsia" w:hAnsiTheme="minorEastAsia" w:eastAsiaTheme="minorEastAsia"/>
          <w:b/>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（三）投标报价一览表</w:t>
      </w:r>
    </w:p>
    <w:p>
      <w:pPr>
        <w:spacing w:line="340" w:lineRule="exact"/>
        <w:rPr>
          <w:rFonts w:cs="华文楷体" w:asciiTheme="minorEastAsia" w:hAnsiTheme="minorEastAsia" w:eastAsiaTheme="minorEastAsia"/>
          <w:b/>
          <w:color w:val="000000" w:themeColor="text1"/>
          <w:sz w:val="24"/>
          <w14:textFill>
            <w14:solidFill>
              <w14:schemeClr w14:val="tx1"/>
            </w14:solidFill>
          </w14:textFill>
        </w:rPr>
      </w:pPr>
    </w:p>
    <w:tbl>
      <w:tblPr>
        <w:tblStyle w:val="18"/>
        <w:tblW w:w="5000" w:type="pct"/>
        <w:tblInd w:w="0" w:type="dxa"/>
        <w:tblLayout w:type="autofit"/>
        <w:tblCellMar>
          <w:top w:w="0" w:type="dxa"/>
          <w:left w:w="108" w:type="dxa"/>
          <w:bottom w:w="0" w:type="dxa"/>
          <w:right w:w="108" w:type="dxa"/>
        </w:tblCellMar>
      </w:tblPr>
      <w:tblGrid>
        <w:gridCol w:w="619"/>
        <w:gridCol w:w="904"/>
        <w:gridCol w:w="2484"/>
        <w:gridCol w:w="876"/>
        <w:gridCol w:w="975"/>
        <w:gridCol w:w="1753"/>
        <w:gridCol w:w="1925"/>
      </w:tblGrid>
      <w:tr>
        <w:tblPrEx>
          <w:tblCellMar>
            <w:top w:w="0" w:type="dxa"/>
            <w:left w:w="108" w:type="dxa"/>
            <w:bottom w:w="0" w:type="dxa"/>
            <w:right w:w="108" w:type="dxa"/>
          </w:tblCellMar>
        </w:tblPrEx>
        <w:trPr>
          <w:trHeight w:val="455" w:hRule="atLeast"/>
        </w:trPr>
        <w:tc>
          <w:tcPr>
            <w:tcW w:w="325"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序号</w:t>
            </w:r>
          </w:p>
        </w:tc>
        <w:tc>
          <w:tcPr>
            <w:tcW w:w="1776" w:type="pct"/>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名称</w:t>
            </w:r>
          </w:p>
        </w:tc>
        <w:tc>
          <w:tcPr>
            <w:tcW w:w="459"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数量</w:t>
            </w:r>
          </w:p>
        </w:tc>
        <w:tc>
          <w:tcPr>
            <w:tcW w:w="511"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单位</w:t>
            </w:r>
          </w:p>
        </w:tc>
        <w:tc>
          <w:tcPr>
            <w:tcW w:w="919"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单价（元）</w:t>
            </w:r>
          </w:p>
        </w:tc>
        <w:tc>
          <w:tcPr>
            <w:tcW w:w="1007"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总价（元）</w:t>
            </w:r>
          </w:p>
        </w:tc>
      </w:tr>
      <w:tr>
        <w:tblPrEx>
          <w:tblCellMar>
            <w:top w:w="0" w:type="dxa"/>
            <w:left w:w="108" w:type="dxa"/>
            <w:bottom w:w="0" w:type="dxa"/>
            <w:right w:w="108" w:type="dxa"/>
          </w:tblCellMar>
        </w:tblPrEx>
        <w:trPr>
          <w:trHeight w:val="90" w:hRule="atLeast"/>
        </w:trPr>
        <w:tc>
          <w:tcPr>
            <w:tcW w:w="32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r>
              <w:rPr>
                <w:rFonts w:hint="eastAsia" w:cs="华文楷体" w:asciiTheme="minorEastAsia" w:hAnsiTheme="minorEastAsia" w:eastAsiaTheme="minorEastAsia"/>
                <w:color w:val="000000" w:themeColor="text1"/>
                <w:kern w:val="0"/>
                <w:sz w:val="24"/>
                <w14:textFill>
                  <w14:solidFill>
                    <w14:schemeClr w14:val="tx1"/>
                  </w14:solidFill>
                </w14:textFill>
              </w:rPr>
              <w:t>1</w:t>
            </w:r>
          </w:p>
        </w:tc>
        <w:tc>
          <w:tcPr>
            <w:tcW w:w="1776"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511"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919"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p>
        </w:tc>
        <w:tc>
          <w:tcPr>
            <w:tcW w:w="100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32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r>
              <w:rPr>
                <w:rFonts w:hint="eastAsia" w:cs="华文楷体" w:asciiTheme="minorEastAsia" w:hAnsiTheme="minorEastAsia" w:eastAsiaTheme="minorEastAsia"/>
                <w:color w:val="000000" w:themeColor="text1"/>
                <w:kern w:val="0"/>
                <w:sz w:val="24"/>
                <w14:textFill>
                  <w14:solidFill>
                    <w14:schemeClr w14:val="tx1"/>
                  </w14:solidFill>
                </w14:textFill>
              </w:rPr>
              <w:t>2</w:t>
            </w:r>
          </w:p>
        </w:tc>
        <w:tc>
          <w:tcPr>
            <w:tcW w:w="1776"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511"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919"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p>
        </w:tc>
        <w:tc>
          <w:tcPr>
            <w:tcW w:w="100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32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r>
              <w:rPr>
                <w:rFonts w:hint="eastAsia" w:cs="华文楷体" w:asciiTheme="minorEastAsia" w:hAnsiTheme="minorEastAsia" w:eastAsiaTheme="minorEastAsia"/>
                <w:color w:val="000000" w:themeColor="text1"/>
                <w:kern w:val="0"/>
                <w:sz w:val="24"/>
                <w14:textFill>
                  <w14:solidFill>
                    <w14:schemeClr w14:val="tx1"/>
                  </w14:solidFill>
                </w14:textFill>
              </w:rPr>
              <w:t>3</w:t>
            </w:r>
          </w:p>
        </w:tc>
        <w:tc>
          <w:tcPr>
            <w:tcW w:w="1776"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511"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919"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p>
        </w:tc>
        <w:tc>
          <w:tcPr>
            <w:tcW w:w="100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32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r>
              <w:rPr>
                <w:rFonts w:hint="eastAsia" w:cs="华文楷体" w:asciiTheme="minorEastAsia" w:hAnsiTheme="minorEastAsia" w:eastAsiaTheme="minorEastAsia"/>
                <w:color w:val="000000" w:themeColor="text1"/>
                <w:kern w:val="0"/>
                <w:sz w:val="24"/>
                <w14:textFill>
                  <w14:solidFill>
                    <w14:schemeClr w14:val="tx1"/>
                  </w14:solidFill>
                </w14:textFill>
              </w:rPr>
              <w:t>...</w:t>
            </w:r>
          </w:p>
        </w:tc>
        <w:tc>
          <w:tcPr>
            <w:tcW w:w="1776"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59"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511"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c>
          <w:tcPr>
            <w:tcW w:w="919"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14:textFill>
                  <w14:solidFill>
                    <w14:schemeClr w14:val="tx1"/>
                  </w14:solidFill>
                </w14:textFill>
              </w:rPr>
            </w:pPr>
          </w:p>
        </w:tc>
        <w:tc>
          <w:tcPr>
            <w:tcW w:w="100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41" w:hRule="atLeast"/>
        </w:trPr>
        <w:tc>
          <w:tcPr>
            <w:tcW w:w="799" w:type="pct"/>
            <w:gridSpan w:val="2"/>
            <w:tcBorders>
              <w:top w:val="nil"/>
              <w:left w:val="single" w:color="auto" w:sz="4" w:space="0"/>
              <w:bottom w:val="single" w:color="auto" w:sz="4" w:space="0"/>
              <w:right w:val="single" w:color="auto" w:sz="4" w:space="0"/>
            </w:tcBorders>
            <w:shd w:val="clear" w:color="auto" w:fill="auto"/>
            <w:vAlign w:val="center"/>
          </w:tcPr>
          <w:p>
            <w:pPr>
              <w:pStyle w:val="28"/>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质保期（年）</w:t>
            </w:r>
          </w:p>
        </w:tc>
        <w:tc>
          <w:tcPr>
            <w:tcW w:w="4200" w:type="pct"/>
            <w:gridSpan w:val="5"/>
            <w:tcBorders>
              <w:top w:val="nil"/>
              <w:left w:val="single" w:color="auto" w:sz="4" w:space="0"/>
              <w:bottom w:val="single" w:color="auto" w:sz="4" w:space="0"/>
              <w:right w:val="single" w:color="auto" w:sz="4" w:space="0"/>
            </w:tcBorders>
          </w:tcPr>
          <w:p>
            <w:pPr>
              <w:pStyle w:val="28"/>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41" w:hRule="atLeast"/>
        </w:trPr>
        <w:tc>
          <w:tcPr>
            <w:tcW w:w="799" w:type="pct"/>
            <w:gridSpan w:val="2"/>
            <w:tcBorders>
              <w:top w:val="nil"/>
              <w:left w:val="single" w:color="auto" w:sz="4" w:space="0"/>
              <w:bottom w:val="single" w:color="auto" w:sz="4" w:space="0"/>
              <w:right w:val="single" w:color="auto" w:sz="4" w:space="0"/>
            </w:tcBorders>
            <w:shd w:val="clear" w:color="auto" w:fill="auto"/>
            <w:vAlign w:val="center"/>
          </w:tcPr>
          <w:p>
            <w:pPr>
              <w:pStyle w:val="28"/>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供货期（天）</w:t>
            </w:r>
          </w:p>
        </w:tc>
        <w:tc>
          <w:tcPr>
            <w:tcW w:w="4200" w:type="pct"/>
            <w:gridSpan w:val="5"/>
            <w:tcBorders>
              <w:top w:val="nil"/>
              <w:left w:val="single" w:color="auto" w:sz="4" w:space="0"/>
              <w:bottom w:val="single" w:color="auto" w:sz="4" w:space="0"/>
              <w:right w:val="single" w:color="auto" w:sz="4" w:space="0"/>
            </w:tcBorders>
          </w:tcPr>
          <w:p>
            <w:pPr>
              <w:pStyle w:val="28"/>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p>
        </w:tc>
      </w:tr>
      <w:tr>
        <w:trPr>
          <w:trHeight w:val="848" w:hRule="atLeast"/>
        </w:trPr>
        <w:tc>
          <w:tcPr>
            <w:tcW w:w="7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8"/>
              <w:numPr>
                <w:ilvl w:val="0"/>
                <w:numId w:val="0"/>
              </w:numPr>
              <w:tabs>
                <w:tab w:val="left" w:pos="0"/>
              </w:tabs>
              <w:spacing w:line="340" w:lineRule="exact"/>
              <w:jc w:val="center"/>
              <w:rPr>
                <w:rFonts w:cs="华文楷体" w:asciiTheme="minorEastAsia" w:hAnsiTheme="minorEastAsia" w:eastAsiaTheme="minorEastAsia"/>
                <w:color w:val="000000" w:themeColor="text1"/>
                <w:kern w:val="2"/>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合计（人民币）</w:t>
            </w:r>
          </w:p>
        </w:tc>
        <w:tc>
          <w:tcPr>
            <w:tcW w:w="4200" w:type="pct"/>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cs="华文楷体" w:asciiTheme="minorEastAsia" w:hAnsiTheme="minorEastAsia" w:eastAsiaTheme="minorEastAsia"/>
                <w:b/>
                <w:color w:val="000000" w:themeColor="text1"/>
                <w:kern w:val="0"/>
                <w:szCs w:val="21"/>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小写：                （大写：             ）</w:t>
            </w:r>
          </w:p>
        </w:tc>
      </w:tr>
    </w:tbl>
    <w:p>
      <w:pPr>
        <w:spacing w:line="340" w:lineRule="exact"/>
        <w:ind w:firstLine="354" w:firstLineChars="147"/>
        <w:rPr>
          <w:rFonts w:cs="华文楷体" w:asciiTheme="minorEastAsia" w:hAnsiTheme="minorEastAsia" w:eastAsiaTheme="minorEastAsia"/>
          <w:b/>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注：投标报价包含安装、调试、配合费、保质期内的服务、利润、税金和承担的风险等一切可能产生的费用。</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供应商：</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供应商授权代表签字：</w:t>
      </w:r>
    </w:p>
    <w:p>
      <w:pPr>
        <w:spacing w:line="340" w:lineRule="exact"/>
        <w:ind w:firstLine="4560" w:firstLineChars="19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jc w:val="left"/>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r>
        <w:rPr>
          <w:rFonts w:hint="eastAsia" w:cs="华文楷体" w:asciiTheme="minorEastAsia" w:hAnsiTheme="minorEastAsia" w:eastAsiaTheme="minorEastAsia"/>
          <w:color w:val="000000" w:themeColor="text1"/>
          <w:sz w:val="24"/>
          <w14:textFill>
            <w14:solidFill>
              <w14:schemeClr w14:val="tx1"/>
            </w14:solidFill>
          </w14:textFill>
        </w:rPr>
        <w:tab/>
      </w:r>
      <w:r>
        <w:rPr>
          <w:rFonts w:hint="eastAsia" w:cs="华文楷体" w:asciiTheme="minorEastAsia" w:hAnsiTheme="minorEastAsia" w:eastAsiaTheme="minorEastAsia"/>
          <w:color w:val="000000" w:themeColor="text1"/>
          <w:sz w:val="24"/>
          <w14:textFill>
            <w14:solidFill>
              <w14:schemeClr w14:val="tx1"/>
            </w14:solidFill>
          </w14:textFill>
        </w:rPr>
        <w:t xml:space="preserve">    年    月    日</w:t>
      </w:r>
    </w:p>
    <w:p>
      <w:pPr>
        <w:spacing w:line="400" w:lineRule="exact"/>
        <w:ind w:firstLine="723" w:firstLineChars="300"/>
        <w:rPr>
          <w:rFonts w:cs="华文楷体" w:asciiTheme="minorEastAsia" w:hAnsiTheme="minorEastAsia" w:eastAsiaTheme="minorEastAsia"/>
          <w:b/>
          <w:color w:val="000000" w:themeColor="text1"/>
          <w:sz w:val="24"/>
          <w14:textFill>
            <w14:solidFill>
              <w14:schemeClr w14:val="tx1"/>
            </w14:solidFill>
          </w14:textFill>
        </w:rPr>
      </w:pPr>
    </w:p>
    <w:p>
      <w:pPr>
        <w:spacing w:line="400" w:lineRule="exact"/>
        <w:rPr>
          <w:rFonts w:cs="华文楷体" w:asciiTheme="minorEastAsia" w:hAnsiTheme="minorEastAsia" w:eastAsiaTheme="minorEastAsia"/>
          <w:b/>
          <w:color w:val="000000" w:themeColor="text1"/>
          <w:sz w:val="24"/>
          <w14:textFill>
            <w14:solidFill>
              <w14:schemeClr w14:val="tx1"/>
            </w14:solidFill>
          </w14:textFill>
        </w:rPr>
      </w:pPr>
    </w:p>
    <w:p>
      <w:pPr>
        <w:spacing w:line="400" w:lineRule="exact"/>
        <w:rPr>
          <w:rFonts w:cs="华文楷体" w:asciiTheme="minorEastAsia" w:hAnsiTheme="minorEastAsia" w:eastAsiaTheme="minorEastAsia"/>
          <w:b/>
          <w:color w:val="000000" w:themeColor="text1"/>
          <w:sz w:val="24"/>
          <w14:textFill>
            <w14:solidFill>
              <w14:schemeClr w14:val="tx1"/>
            </w14:solidFill>
          </w14:textFill>
        </w:rPr>
      </w:pPr>
    </w:p>
    <w:p>
      <w:pPr>
        <w:rPr>
          <w:rFonts w:cs="华文楷体" w:asciiTheme="minorEastAsia" w:hAnsiTheme="minorEastAsia" w:eastAsiaTheme="minorEastAsia"/>
          <w:b/>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（四）投标报价明细表</w:t>
      </w:r>
    </w:p>
    <w:p>
      <w:pPr>
        <w:ind w:firstLine="352" w:firstLineChars="146"/>
        <w:rPr>
          <w:rFonts w:cs="华文楷体" w:asciiTheme="minorEastAsia" w:hAnsiTheme="minorEastAsia" w:eastAsiaTheme="minorEastAsia"/>
          <w:b/>
          <w:color w:val="000000" w:themeColor="text1"/>
          <w:sz w:val="24"/>
          <w14:textFill>
            <w14:solidFill>
              <w14:schemeClr w14:val="tx1"/>
            </w14:solidFill>
          </w14:textFill>
        </w:rPr>
      </w:pPr>
    </w:p>
    <w:p>
      <w:pPr>
        <w:ind w:firstLine="350" w:firstLineChars="146"/>
        <w:rPr>
          <w:rFonts w:cs="华文楷体" w:asciiTheme="minorEastAsia" w:hAnsiTheme="minorEastAsia" w:eastAsiaTheme="minorEastAsia"/>
          <w:b/>
          <w:color w:val="000000" w:themeColor="text1"/>
          <w:sz w:val="24"/>
          <w14:textFill>
            <w14:solidFill>
              <w14:schemeClr w14:val="tx1"/>
            </w14:solidFill>
          </w14:textFill>
        </w:rPr>
      </w:pPr>
      <w:r>
        <w:rPr>
          <w:rFonts w:hint="eastAsia"/>
          <w:sz w:val="24"/>
        </w:rPr>
        <w:t>投标报价明细表由供应商自行制作，须体现该项目的价格构成。</w:t>
      </w:r>
    </w:p>
    <w:p>
      <w:pPr>
        <w:widowControl/>
        <w:jc w:val="left"/>
        <w:rPr>
          <w:rFonts w:cs="华文楷体" w:asciiTheme="minorEastAsia" w:hAnsiTheme="minorEastAsia" w:eastAsiaTheme="minorEastAsia"/>
          <w:b/>
          <w:color w:val="000000" w:themeColor="text1"/>
          <w:sz w:val="24"/>
          <w14:textFill>
            <w14:solidFill>
              <w14:schemeClr w14:val="tx1"/>
            </w14:solidFill>
          </w14:textFill>
        </w:rPr>
      </w:pPr>
      <w:r>
        <w:rPr>
          <w:rFonts w:cs="华文楷体" w:asciiTheme="minorEastAsia" w:hAnsiTheme="minorEastAsia" w:eastAsiaTheme="minorEastAsia"/>
          <w:b/>
          <w:color w:val="000000" w:themeColor="text1"/>
          <w:sz w:val="24"/>
          <w14:textFill>
            <w14:solidFill>
              <w14:schemeClr w14:val="tx1"/>
            </w14:solidFill>
          </w14:textFill>
        </w:rPr>
        <w:br w:type="page"/>
      </w:r>
    </w:p>
    <w:p>
      <w:pPr>
        <w:spacing w:line="400" w:lineRule="exact"/>
        <w:rPr>
          <w:rFonts w:cs="华文楷体" w:asciiTheme="minorEastAsia" w:hAnsiTheme="minorEastAsia" w:eastAsiaTheme="minorEastAsia"/>
          <w:b/>
          <w:color w:val="000000" w:themeColor="text1"/>
          <w:sz w:val="24"/>
          <w14:textFill>
            <w14:solidFill>
              <w14:schemeClr w14:val="tx1"/>
            </w14:solidFill>
          </w14:textFill>
        </w:rPr>
      </w:pPr>
    </w:p>
    <w:p>
      <w:pPr>
        <w:pStyle w:val="16"/>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（五）供应商主要业绩一览表（</w:t>
      </w:r>
      <w:bookmarkStart w:id="18" w:name="_Hlk97887590"/>
      <w:r>
        <w:rPr>
          <w:rFonts w:hint="eastAsia" w:asciiTheme="minorEastAsia" w:hAnsiTheme="minorEastAsia" w:eastAsiaTheme="minorEastAsia"/>
          <w:b/>
          <w:sz w:val="24"/>
          <w:szCs w:val="24"/>
        </w:rPr>
        <w:t>2020年1月1日以来类似业绩</w:t>
      </w:r>
      <w:bookmarkEnd w:id="18"/>
      <w:r>
        <w:rPr>
          <w:rFonts w:hint="eastAsia" w:asciiTheme="minorEastAsia" w:hAnsiTheme="minorEastAsia" w:eastAsiaTheme="minorEastAsia"/>
          <w:b/>
          <w:sz w:val="24"/>
          <w:szCs w:val="24"/>
        </w:rPr>
        <w:t>）</w:t>
      </w:r>
    </w:p>
    <w:p>
      <w:pPr>
        <w:pStyle w:val="16"/>
        <w:spacing w:after="0" w:line="400" w:lineRule="exact"/>
        <w:ind w:firstLine="0" w:firstLineChars="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供应商名称：</w:t>
      </w:r>
    </w:p>
    <w:tbl>
      <w:tblPr>
        <w:tblStyle w:val="18"/>
        <w:tblW w:w="948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1514"/>
        <w:gridCol w:w="1276"/>
        <w:gridCol w:w="1559"/>
        <w:gridCol w:w="1984"/>
        <w:gridCol w:w="1418"/>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45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514"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12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559"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合同金额</w:t>
            </w:r>
          </w:p>
        </w:tc>
        <w:tc>
          <w:tcPr>
            <w:tcW w:w="1984"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418"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合同复印件对应页码</w:t>
            </w:r>
          </w:p>
        </w:tc>
        <w:tc>
          <w:tcPr>
            <w:tcW w:w="12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56" w:type="dxa"/>
          </w:tcPr>
          <w:p>
            <w:pPr>
              <w:spacing w:line="400" w:lineRule="exact"/>
              <w:ind w:firstLine="482" w:firstLineChars="200"/>
              <w:rPr>
                <w:rFonts w:asciiTheme="minorEastAsia" w:hAnsiTheme="minorEastAsia" w:eastAsiaTheme="minorEastAsia"/>
                <w:b/>
                <w:sz w:val="24"/>
              </w:rPr>
            </w:pPr>
          </w:p>
        </w:tc>
        <w:tc>
          <w:tcPr>
            <w:tcW w:w="1514"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c>
          <w:tcPr>
            <w:tcW w:w="1559" w:type="dxa"/>
          </w:tcPr>
          <w:p>
            <w:pPr>
              <w:spacing w:line="400" w:lineRule="exact"/>
              <w:ind w:firstLine="482" w:firstLineChars="200"/>
              <w:rPr>
                <w:rFonts w:asciiTheme="minorEastAsia" w:hAnsiTheme="minorEastAsia" w:eastAsiaTheme="minorEastAsia"/>
                <w:b/>
                <w:sz w:val="24"/>
              </w:rPr>
            </w:pPr>
          </w:p>
        </w:tc>
        <w:tc>
          <w:tcPr>
            <w:tcW w:w="1984" w:type="dxa"/>
          </w:tcPr>
          <w:p>
            <w:pPr>
              <w:spacing w:line="400" w:lineRule="exact"/>
              <w:ind w:firstLine="482" w:firstLineChars="200"/>
              <w:rPr>
                <w:rFonts w:asciiTheme="minorEastAsia" w:hAnsiTheme="minorEastAsia" w:eastAsiaTheme="minorEastAsia"/>
                <w:b/>
                <w:sz w:val="24"/>
              </w:rPr>
            </w:pPr>
          </w:p>
        </w:tc>
        <w:tc>
          <w:tcPr>
            <w:tcW w:w="1418"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56" w:type="dxa"/>
          </w:tcPr>
          <w:p>
            <w:pPr>
              <w:spacing w:line="400" w:lineRule="exact"/>
              <w:ind w:firstLine="482" w:firstLineChars="200"/>
              <w:rPr>
                <w:rFonts w:asciiTheme="minorEastAsia" w:hAnsiTheme="minorEastAsia" w:eastAsiaTheme="minorEastAsia"/>
                <w:b/>
                <w:sz w:val="24"/>
              </w:rPr>
            </w:pPr>
          </w:p>
        </w:tc>
        <w:tc>
          <w:tcPr>
            <w:tcW w:w="1514"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c>
          <w:tcPr>
            <w:tcW w:w="1559" w:type="dxa"/>
          </w:tcPr>
          <w:p>
            <w:pPr>
              <w:spacing w:line="400" w:lineRule="exact"/>
              <w:ind w:firstLine="482" w:firstLineChars="200"/>
              <w:rPr>
                <w:rFonts w:asciiTheme="minorEastAsia" w:hAnsiTheme="minorEastAsia" w:eastAsiaTheme="minorEastAsia"/>
                <w:b/>
                <w:sz w:val="24"/>
              </w:rPr>
            </w:pPr>
          </w:p>
        </w:tc>
        <w:tc>
          <w:tcPr>
            <w:tcW w:w="1984" w:type="dxa"/>
          </w:tcPr>
          <w:p>
            <w:pPr>
              <w:spacing w:line="400" w:lineRule="exact"/>
              <w:ind w:firstLine="482" w:firstLineChars="200"/>
              <w:rPr>
                <w:rFonts w:asciiTheme="minorEastAsia" w:hAnsiTheme="minorEastAsia" w:eastAsiaTheme="minorEastAsia"/>
                <w:b/>
                <w:sz w:val="24"/>
              </w:rPr>
            </w:pPr>
          </w:p>
        </w:tc>
        <w:tc>
          <w:tcPr>
            <w:tcW w:w="1418"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56" w:type="dxa"/>
          </w:tcPr>
          <w:p>
            <w:pPr>
              <w:spacing w:line="400" w:lineRule="exact"/>
              <w:ind w:firstLine="482" w:firstLineChars="200"/>
              <w:rPr>
                <w:rFonts w:asciiTheme="minorEastAsia" w:hAnsiTheme="minorEastAsia" w:eastAsiaTheme="minorEastAsia"/>
                <w:b/>
                <w:sz w:val="24"/>
              </w:rPr>
            </w:pPr>
          </w:p>
        </w:tc>
        <w:tc>
          <w:tcPr>
            <w:tcW w:w="1514"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c>
          <w:tcPr>
            <w:tcW w:w="1559" w:type="dxa"/>
          </w:tcPr>
          <w:p>
            <w:pPr>
              <w:spacing w:line="400" w:lineRule="exact"/>
              <w:ind w:firstLine="482" w:firstLineChars="200"/>
              <w:rPr>
                <w:rFonts w:asciiTheme="minorEastAsia" w:hAnsiTheme="minorEastAsia" w:eastAsiaTheme="minorEastAsia"/>
                <w:b/>
                <w:sz w:val="24"/>
              </w:rPr>
            </w:pPr>
          </w:p>
        </w:tc>
        <w:tc>
          <w:tcPr>
            <w:tcW w:w="1984" w:type="dxa"/>
          </w:tcPr>
          <w:p>
            <w:pPr>
              <w:spacing w:line="400" w:lineRule="exact"/>
              <w:ind w:firstLine="482" w:firstLineChars="200"/>
              <w:rPr>
                <w:rFonts w:asciiTheme="minorEastAsia" w:hAnsiTheme="minorEastAsia" w:eastAsiaTheme="minorEastAsia"/>
                <w:b/>
                <w:sz w:val="24"/>
              </w:rPr>
            </w:pPr>
          </w:p>
        </w:tc>
        <w:tc>
          <w:tcPr>
            <w:tcW w:w="1418"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456" w:type="dxa"/>
          </w:tcPr>
          <w:p>
            <w:pPr>
              <w:spacing w:line="400" w:lineRule="exact"/>
              <w:ind w:firstLine="482" w:firstLineChars="200"/>
              <w:rPr>
                <w:rFonts w:asciiTheme="minorEastAsia" w:hAnsiTheme="minorEastAsia" w:eastAsiaTheme="minorEastAsia"/>
                <w:b/>
                <w:sz w:val="24"/>
              </w:rPr>
            </w:pPr>
          </w:p>
        </w:tc>
        <w:tc>
          <w:tcPr>
            <w:tcW w:w="1514"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c>
          <w:tcPr>
            <w:tcW w:w="1559" w:type="dxa"/>
          </w:tcPr>
          <w:p>
            <w:pPr>
              <w:spacing w:line="400" w:lineRule="exact"/>
              <w:ind w:firstLine="482" w:firstLineChars="200"/>
              <w:rPr>
                <w:rFonts w:asciiTheme="minorEastAsia" w:hAnsiTheme="minorEastAsia" w:eastAsiaTheme="minorEastAsia"/>
                <w:b/>
                <w:sz w:val="24"/>
              </w:rPr>
            </w:pPr>
          </w:p>
        </w:tc>
        <w:tc>
          <w:tcPr>
            <w:tcW w:w="1984" w:type="dxa"/>
          </w:tcPr>
          <w:p>
            <w:pPr>
              <w:spacing w:line="400" w:lineRule="exact"/>
              <w:ind w:firstLine="482" w:firstLineChars="200"/>
              <w:rPr>
                <w:rFonts w:asciiTheme="minorEastAsia" w:hAnsiTheme="minorEastAsia" w:eastAsiaTheme="minorEastAsia"/>
                <w:b/>
                <w:sz w:val="24"/>
              </w:rPr>
            </w:pPr>
          </w:p>
        </w:tc>
        <w:tc>
          <w:tcPr>
            <w:tcW w:w="1418"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456" w:type="dxa"/>
          </w:tcPr>
          <w:p>
            <w:pPr>
              <w:spacing w:line="400" w:lineRule="exact"/>
              <w:ind w:firstLine="482" w:firstLineChars="200"/>
              <w:rPr>
                <w:rFonts w:asciiTheme="minorEastAsia" w:hAnsiTheme="minorEastAsia" w:eastAsiaTheme="minorEastAsia"/>
                <w:b/>
                <w:sz w:val="24"/>
              </w:rPr>
            </w:pPr>
          </w:p>
        </w:tc>
        <w:tc>
          <w:tcPr>
            <w:tcW w:w="1514"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c>
          <w:tcPr>
            <w:tcW w:w="1559" w:type="dxa"/>
          </w:tcPr>
          <w:p>
            <w:pPr>
              <w:spacing w:line="400" w:lineRule="exact"/>
              <w:ind w:firstLine="482" w:firstLineChars="200"/>
              <w:rPr>
                <w:rFonts w:asciiTheme="minorEastAsia" w:hAnsiTheme="minorEastAsia" w:eastAsiaTheme="minorEastAsia"/>
                <w:b/>
                <w:sz w:val="24"/>
              </w:rPr>
            </w:pPr>
          </w:p>
        </w:tc>
        <w:tc>
          <w:tcPr>
            <w:tcW w:w="1984" w:type="dxa"/>
          </w:tcPr>
          <w:p>
            <w:pPr>
              <w:spacing w:line="400" w:lineRule="exact"/>
              <w:ind w:firstLine="482" w:firstLineChars="200"/>
              <w:rPr>
                <w:rFonts w:asciiTheme="minorEastAsia" w:hAnsiTheme="minorEastAsia" w:eastAsiaTheme="minorEastAsia"/>
                <w:b/>
                <w:sz w:val="24"/>
              </w:rPr>
            </w:pPr>
          </w:p>
        </w:tc>
        <w:tc>
          <w:tcPr>
            <w:tcW w:w="1418" w:type="dxa"/>
          </w:tcPr>
          <w:p>
            <w:pPr>
              <w:spacing w:line="400" w:lineRule="exact"/>
              <w:ind w:firstLine="482" w:firstLineChars="200"/>
              <w:rPr>
                <w:rFonts w:asciiTheme="minorEastAsia" w:hAnsiTheme="minorEastAsia" w:eastAsiaTheme="minorEastAsia"/>
                <w:b/>
                <w:sz w:val="24"/>
              </w:rPr>
            </w:pPr>
          </w:p>
        </w:tc>
        <w:tc>
          <w:tcPr>
            <w:tcW w:w="1276" w:type="dxa"/>
          </w:tcPr>
          <w:p>
            <w:pPr>
              <w:spacing w:line="400" w:lineRule="exact"/>
              <w:ind w:firstLine="482" w:firstLineChars="200"/>
              <w:rPr>
                <w:rFonts w:asciiTheme="minorEastAsia" w:hAnsiTheme="minorEastAsia" w:eastAsiaTheme="minorEastAsia"/>
                <w:b/>
                <w:sz w:val="24"/>
              </w:rPr>
            </w:pPr>
          </w:p>
        </w:tc>
      </w:tr>
    </w:tbl>
    <w:p>
      <w:pPr>
        <w:pStyle w:val="16"/>
        <w:spacing w:after="0" w:line="400" w:lineRule="exact"/>
        <w:ind w:firstLine="0"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注：应提供合同复印件并加盖投标单位公章</w:t>
      </w:r>
    </w:p>
    <w:p>
      <w:pPr>
        <w:widowControl/>
        <w:jc w:val="left"/>
        <w:rPr>
          <w:rFonts w:cs="华文楷体" w:asciiTheme="minorEastAsia" w:hAnsiTheme="minorEastAsia" w:eastAsiaTheme="minorEastAsia"/>
          <w:b/>
          <w:color w:val="000000" w:themeColor="text1"/>
          <w:sz w:val="24"/>
          <w14:textFill>
            <w14:solidFill>
              <w14:schemeClr w14:val="tx1"/>
            </w14:solidFill>
          </w14:textFill>
        </w:rPr>
      </w:pPr>
    </w:p>
    <w:p>
      <w:pPr>
        <w:pStyle w:val="27"/>
        <w:spacing w:before="0" w:after="0" w:line="400" w:lineRule="exact"/>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（六）商务与技术条款偏离表</w:t>
      </w:r>
    </w:p>
    <w:tbl>
      <w:tblPr>
        <w:tblStyle w:val="18"/>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磋商文件</w:t>
            </w:r>
            <w:r>
              <w:rPr>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供应商</w:t>
            </w:r>
            <w:r>
              <w:rPr>
                <w:b/>
                <w:bCs/>
              </w:rPr>
              <w:t>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bl>
    <w:p>
      <w:pPr>
        <w:ind w:left="210" w:leftChars="100"/>
        <w:rPr>
          <w:b/>
        </w:rPr>
      </w:pPr>
      <w:r>
        <w:rPr>
          <w:b/>
        </w:rPr>
        <w:t>注：如无偏差，</w:t>
      </w:r>
      <w:r>
        <w:rPr>
          <w:rFonts w:hint="eastAsia"/>
          <w:b/>
        </w:rPr>
        <w:t>供应商</w:t>
      </w:r>
      <w:r>
        <w:rPr>
          <w:b/>
        </w:rPr>
        <w:t>不需要填表，但应声明：“本</w:t>
      </w:r>
      <w:r>
        <w:rPr>
          <w:rFonts w:hint="eastAsia"/>
          <w:b/>
        </w:rPr>
        <w:t>响应文件</w:t>
      </w:r>
      <w:r>
        <w:rPr>
          <w:b/>
        </w:rPr>
        <w:t>完全响应</w:t>
      </w:r>
      <w:r>
        <w:rPr>
          <w:rFonts w:hint="eastAsia"/>
          <w:b/>
        </w:rPr>
        <w:t>磋商文件</w:t>
      </w:r>
      <w:r>
        <w:rPr>
          <w:b/>
        </w:rPr>
        <w:t>所有条款的要求，无偏差。”</w:t>
      </w:r>
      <w:bookmarkEnd w:id="17"/>
    </w:p>
    <w:p>
      <w:pPr>
        <w:ind w:left="413" w:hanging="413" w:hangingChars="196"/>
        <w:rPr>
          <w:b/>
        </w:rPr>
      </w:pPr>
    </w:p>
    <w:p>
      <w:pPr>
        <w:ind w:left="210" w:leftChars="100" w:firstLine="240" w:firstLineChars="1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供应商</w:t>
      </w:r>
      <w:r>
        <w:rPr>
          <w:rFonts w:cs="华文楷体" w:asciiTheme="minorEastAsia" w:hAnsiTheme="minorEastAsia" w:eastAsiaTheme="minorEastAsia"/>
          <w:color w:val="000000" w:themeColor="text1"/>
          <w:sz w:val="24"/>
          <w14:textFill>
            <w14:solidFill>
              <w14:schemeClr w14:val="tx1"/>
            </w14:solidFill>
          </w14:textFill>
        </w:rPr>
        <w:t>：</w:t>
      </w:r>
      <w:r>
        <w:rPr>
          <w:rFonts w:cs="华文楷体" w:asciiTheme="minorEastAsia" w:hAnsiTheme="minorEastAsia" w:eastAsiaTheme="minorEastAsia"/>
          <w:color w:val="000000" w:themeColor="text1"/>
          <w:sz w:val="24"/>
          <w:u w:val="single"/>
          <w14:textFill>
            <w14:solidFill>
              <w14:schemeClr w14:val="tx1"/>
            </w14:solidFill>
          </w14:textFill>
        </w:rPr>
        <w:t>（</w:t>
      </w:r>
      <w:r>
        <w:rPr>
          <w:rFonts w:hint="eastAsia" w:cs="华文楷体" w:asciiTheme="minorEastAsia" w:hAnsiTheme="minorEastAsia" w:eastAsiaTheme="minorEastAsia"/>
          <w:color w:val="000000" w:themeColor="text1"/>
          <w:sz w:val="24"/>
          <w:u w:val="single"/>
          <w14:textFill>
            <w14:solidFill>
              <w14:schemeClr w14:val="tx1"/>
            </w14:solidFill>
          </w14:textFill>
        </w:rPr>
        <w:t>公</w:t>
      </w:r>
      <w:r>
        <w:rPr>
          <w:rFonts w:cs="华文楷体" w:asciiTheme="minorEastAsia" w:hAnsiTheme="minorEastAsia" w:eastAsiaTheme="minorEastAsia"/>
          <w:color w:val="000000" w:themeColor="text1"/>
          <w:sz w:val="24"/>
          <w:u w:val="single"/>
          <w14:textFill>
            <w14:solidFill>
              <w14:schemeClr w14:val="tx1"/>
            </w14:solidFill>
          </w14:textFill>
        </w:rPr>
        <w:t xml:space="preserve">章）   </w:t>
      </w:r>
    </w:p>
    <w:p>
      <w:pPr>
        <w:ind w:left="470" w:hanging="470" w:hangingChars="196"/>
        <w:rPr>
          <w:rFonts w:cs="华文楷体" w:asciiTheme="minorEastAsia" w:hAnsiTheme="minorEastAsia" w:eastAsiaTheme="minorEastAsia"/>
          <w:color w:val="000000" w:themeColor="text1"/>
          <w:sz w:val="24"/>
          <w14:textFill>
            <w14:solidFill>
              <w14:schemeClr w14:val="tx1"/>
            </w14:solidFill>
          </w14:textFill>
        </w:rPr>
      </w:pPr>
    </w:p>
    <w:p>
      <w:pPr>
        <w:ind w:left="210" w:leftChars="100" w:firstLine="240" w:firstLineChars="1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供应商代表签字：___________________</w:t>
      </w:r>
      <w:bookmarkStart w:id="19" w:name="_Toc86202650"/>
    </w:p>
    <w:p>
      <w:pPr>
        <w:ind w:left="470" w:hanging="470" w:hangingChars="196"/>
        <w:rPr>
          <w:rFonts w:cs="华文楷体" w:asciiTheme="minorEastAsia" w:hAnsiTheme="minorEastAsia" w:eastAsiaTheme="minorEastAsia"/>
          <w:color w:val="000000" w:themeColor="text1"/>
          <w:sz w:val="24"/>
          <w14:textFill>
            <w14:solidFill>
              <w14:schemeClr w14:val="tx1"/>
            </w14:solidFill>
          </w14:textFill>
        </w:rPr>
      </w:pPr>
    </w:p>
    <w:p>
      <w:pPr>
        <w:ind w:left="210" w:leftChars="100" w:right="240" w:firstLine="240" w:firstLineChars="100"/>
        <w:jc w:val="left"/>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bookmarkEnd w:id="19"/>
      <w:r>
        <w:rPr>
          <w:rFonts w:hint="eastAsia" w:cs="华文楷体" w:asciiTheme="minorEastAsia" w:hAnsiTheme="minorEastAsia" w:eastAsiaTheme="minorEastAsia"/>
          <w:color w:val="000000" w:themeColor="text1"/>
          <w:sz w:val="24"/>
          <w14:textFill>
            <w14:solidFill>
              <w14:schemeClr w14:val="tx1"/>
            </w14:solidFill>
          </w14:textFill>
        </w:rPr>
        <w:t>年 月 日</w:t>
      </w: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widowControl/>
        <w:jc w:val="left"/>
        <w:rPr>
          <w:rFonts w:cs="华文楷体" w:asciiTheme="minorEastAsia" w:hAnsiTheme="minorEastAsia" w:eastAsiaTheme="minorEastAsia"/>
          <w:b/>
          <w:bCs/>
          <w:color w:val="000000" w:themeColor="text1"/>
          <w:sz w:val="24"/>
          <w14:textFill>
            <w14:solidFill>
              <w14:schemeClr w14:val="tx1"/>
            </w14:solidFill>
          </w14:textFill>
        </w:rPr>
      </w:pPr>
      <w:r>
        <w:rPr>
          <w:rFonts w:cs="华文楷体" w:asciiTheme="minorEastAsia" w:hAnsiTheme="minorEastAsia" w:eastAsiaTheme="minorEastAsia"/>
          <w:b/>
          <w:bCs/>
          <w:color w:val="000000" w:themeColor="text1"/>
          <w:sz w:val="24"/>
          <w14:textFill>
            <w14:solidFill>
              <w14:schemeClr w14:val="tx1"/>
            </w14:solidFill>
          </w14:textFill>
        </w:rPr>
        <w:br w:type="page"/>
      </w:r>
    </w:p>
    <w:p>
      <w:pPr>
        <w:ind w:left="472" w:hanging="472" w:hangingChars="196"/>
        <w:rPr>
          <w:rFonts w:cs="华文楷体" w:asciiTheme="minorEastAsia" w:hAnsiTheme="minorEastAsia" w:eastAsiaTheme="minorEastAsia"/>
          <w:b/>
          <w:bCs/>
          <w:color w:val="000000" w:themeColor="text1"/>
          <w:sz w:val="24"/>
          <w:highlight w:val="none"/>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highlight w:val="none"/>
          <w14:textFill>
            <w14:solidFill>
              <w14:schemeClr w14:val="tx1"/>
            </w14:solidFill>
          </w14:textFill>
        </w:rPr>
      </w:pPr>
      <w:r>
        <w:rPr>
          <w:rFonts w:hint="eastAsia" w:cs="华文楷体" w:asciiTheme="minorEastAsia" w:hAnsiTheme="minorEastAsia" w:eastAsiaTheme="minorEastAsia"/>
          <w:b/>
          <w:bCs/>
          <w:color w:val="000000" w:themeColor="text1"/>
          <w:sz w:val="24"/>
          <w:highlight w:val="none"/>
          <w14:textFill>
            <w14:solidFill>
              <w14:schemeClr w14:val="tx1"/>
            </w14:solidFill>
          </w14:textFill>
        </w:rPr>
        <w:t>（七）安全承诺函</w:t>
      </w:r>
    </w:p>
    <w:p>
      <w:pPr>
        <w:ind w:left="466" w:leftChars="222" w:firstLine="240" w:firstLineChars="100"/>
        <w:rPr>
          <w:rFonts w:cs="华文楷体" w:asciiTheme="minorEastAsia" w:hAnsiTheme="minorEastAsia" w:eastAsiaTheme="minorEastAsia"/>
          <w:b/>
          <w:bCs/>
          <w:color w:val="000000" w:themeColor="text1"/>
          <w:sz w:val="24"/>
          <w:highlight w:val="none"/>
          <w14:textFill>
            <w14:solidFill>
              <w14:schemeClr w14:val="tx1"/>
            </w14:solidFill>
          </w14:textFill>
        </w:rPr>
      </w:pPr>
      <w:r>
        <w:rPr>
          <w:rFonts w:hint="eastAsia" w:ascii="宋体" w:hAnsi="宋体"/>
          <w:sz w:val="24"/>
          <w:highlight w:val="none"/>
        </w:rPr>
        <w:t>投标人承诺在施工过程中出现任何安全问题均由投标人承担，格式自拟，须加盖投标单位公章。</w:t>
      </w: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r>
        <w:rPr>
          <w:rFonts w:hint="eastAsia" w:cs="华文楷体" w:asciiTheme="minorEastAsia" w:hAnsiTheme="minorEastAsia" w:eastAsiaTheme="minorEastAsia"/>
          <w:b/>
          <w:bCs/>
          <w:color w:val="000000" w:themeColor="text1"/>
          <w:sz w:val="24"/>
          <w14:textFill>
            <w14:solidFill>
              <w14:schemeClr w14:val="tx1"/>
            </w14:solidFill>
          </w14:textFill>
        </w:rPr>
        <w:t>（八）资格审查符合性审查材料索引表</w:t>
      </w: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tbl>
      <w:tblPr>
        <w:tblStyle w:val="1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cs="楷体"/>
                <w:bCs/>
                <w:sz w:val="24"/>
              </w:rPr>
              <w:t>法定代表人的授权委托书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hint="default" w:ascii="宋体" w:hAnsi="宋体" w:eastAsia="宋体" w:cs="楷体"/>
                <w:bCs/>
                <w:sz w:val="24"/>
                <w:highlight w:val="none"/>
                <w:lang w:val="en-US" w:eastAsia="zh-CN"/>
              </w:rPr>
            </w:pPr>
            <w:r>
              <w:rPr>
                <w:rFonts w:hint="eastAsia" w:ascii="宋体" w:hAnsi="宋体" w:cs="楷体"/>
                <w:bCs/>
                <w:sz w:val="24"/>
                <w:highlight w:val="none"/>
                <w:lang w:val="en-US" w:eastAsia="zh-CN"/>
              </w:rPr>
              <w:t>质保与服务承诺书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highlight w:val="none"/>
              </w:rPr>
            </w:pPr>
            <w:r>
              <w:rPr>
                <w:rFonts w:ascii="宋体" w:hAnsi="宋体" w:cs="楷体"/>
                <w:bCs/>
                <w:sz w:val="24"/>
                <w:highlight w:val="none"/>
              </w:rPr>
              <w:t>安全承诺函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cs="楷体"/>
                <w:bCs/>
                <w:sz w:val="24"/>
              </w:rPr>
              <w:t>营业执照复印件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信用查询截图</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jc w:val="center"/>
              <w:rPr>
                <w:rFonts w:ascii="宋体" w:hAnsi="宋体" w:cs="楷体"/>
                <w:bCs/>
                <w:sz w:val="24"/>
              </w:rPr>
            </w:pPr>
            <w:r>
              <w:rPr>
                <w:rFonts w:hint="eastAsia" w:ascii="宋体" w:hAnsi="宋体" w:cs="楷体"/>
                <w:bCs/>
                <w:sz w:val="24"/>
              </w:rPr>
              <w:t>投标单位为投标代表缴纳社保证明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8" w:type="dxa"/>
            <w:vAlign w:val="center"/>
          </w:tcPr>
          <w:p>
            <w:pPr>
              <w:jc w:val="center"/>
              <w:rPr>
                <w:rFonts w:ascii="宋体" w:hAnsi="宋体" w:cs="楷体"/>
                <w:bCs/>
                <w:sz w:val="24"/>
              </w:rPr>
            </w:pPr>
            <w:r>
              <w:rPr>
                <w:rFonts w:hint="eastAsia" w:ascii="宋体" w:hAnsi="宋体" w:cs="楷体"/>
                <w:bCs/>
                <w:sz w:val="24"/>
              </w:rPr>
              <w:t>9</w:t>
            </w:r>
          </w:p>
        </w:tc>
        <w:tc>
          <w:tcPr>
            <w:tcW w:w="4770" w:type="dxa"/>
            <w:vAlign w:val="center"/>
          </w:tcPr>
          <w:p>
            <w:pPr>
              <w:jc w:val="center"/>
              <w:rPr>
                <w:rFonts w:ascii="宋体" w:hAnsi="宋体" w:cs="楷体"/>
                <w:bCs/>
                <w:sz w:val="24"/>
              </w:rPr>
            </w:pPr>
            <w:r>
              <w:rPr>
                <w:rFonts w:hint="eastAsia" w:ascii="宋体" w:hAnsi="宋体" w:cs="楷体"/>
                <w:bCs/>
                <w:sz w:val="24"/>
              </w:rPr>
              <w:t>商务和技术偏离表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8" w:type="dxa"/>
            <w:vAlign w:val="center"/>
          </w:tcPr>
          <w:p>
            <w:pPr>
              <w:jc w:val="center"/>
              <w:rPr>
                <w:rFonts w:ascii="宋体" w:hAnsi="宋体" w:cs="楷体"/>
                <w:bCs/>
                <w:sz w:val="24"/>
              </w:rPr>
            </w:pPr>
            <w:r>
              <w:rPr>
                <w:rFonts w:hint="eastAsia" w:ascii="宋体" w:hAnsi="宋体" w:cs="楷体"/>
                <w:bCs/>
                <w:sz w:val="24"/>
              </w:rPr>
              <w:t>10</w:t>
            </w:r>
          </w:p>
        </w:tc>
        <w:tc>
          <w:tcPr>
            <w:tcW w:w="4770" w:type="dxa"/>
            <w:vAlign w:val="center"/>
          </w:tcPr>
          <w:p>
            <w:pPr>
              <w:jc w:val="center"/>
              <w:rPr>
                <w:rFonts w:ascii="宋体" w:hAnsi="宋体" w:cs="楷体"/>
                <w:bCs/>
                <w:sz w:val="24"/>
              </w:rPr>
            </w:pPr>
            <w:r>
              <w:rPr>
                <w:rFonts w:hint="eastAsia" w:ascii="宋体" w:hAnsi="宋体" w:cs="楷体"/>
                <w:bCs/>
                <w:sz w:val="24"/>
                <w:highlight w:val="none"/>
              </w:rPr>
              <w:t>企业资质                           （投标人资格条件中有要求的须提供证明文件）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bl>
    <w:p>
      <w:pPr>
        <w:pStyle w:val="49"/>
        <w:spacing w:after="0"/>
        <w:ind w:firstLine="283" w:firstLineChars="118"/>
        <w:rPr>
          <w:rFonts w:ascii="宋体" w:hAnsi="宋体" w:eastAsia="宋体"/>
          <w:sz w:val="24"/>
          <w:szCs w:val="24"/>
        </w:rPr>
      </w:pPr>
    </w:p>
    <w:p>
      <w:pPr>
        <w:pStyle w:val="49"/>
        <w:spacing w:after="0"/>
        <w:ind w:firstLine="283" w:firstLineChars="118"/>
        <w:rPr>
          <w:rFonts w:ascii="宋体" w:hAnsi="宋体" w:eastAsia="宋体"/>
          <w:sz w:val="24"/>
          <w:szCs w:val="24"/>
        </w:rPr>
      </w:pPr>
      <w:r>
        <w:rPr>
          <w:rFonts w:hint="eastAsia" w:ascii="宋体" w:hAnsi="宋体" w:eastAsia="宋体"/>
          <w:sz w:val="24"/>
          <w:szCs w:val="24"/>
        </w:rPr>
        <w:t>注：</w:t>
      </w:r>
    </w:p>
    <w:p>
      <w:pPr>
        <w:pStyle w:val="49"/>
        <w:spacing w:after="0"/>
        <w:ind w:firstLine="283" w:firstLineChars="118"/>
        <w:rPr>
          <w:rFonts w:ascii="宋体" w:hAnsi="宋体" w:eastAsia="宋体"/>
          <w:sz w:val="24"/>
          <w:szCs w:val="24"/>
        </w:rPr>
      </w:pPr>
      <w:r>
        <w:rPr>
          <w:rFonts w:hint="eastAsia" w:ascii="宋体" w:hAnsi="宋体" w:eastAsia="宋体"/>
          <w:sz w:val="24"/>
          <w:szCs w:val="24"/>
        </w:rPr>
        <w:t>1）供应商需标明相关材料在响应文件中的对应页码。</w:t>
      </w:r>
    </w:p>
    <w:p>
      <w:pPr>
        <w:pStyle w:val="49"/>
        <w:spacing w:after="0"/>
        <w:ind w:firstLine="283" w:firstLineChars="118"/>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widowControl/>
        <w:jc w:val="left"/>
        <w:rPr>
          <w:rFonts w:eastAsia="仿宋_GB2312"/>
          <w:szCs w:val="20"/>
        </w:rPr>
      </w:pPr>
      <w:r>
        <w:br w:type="page"/>
      </w:r>
    </w:p>
    <w:p>
      <w:pPr>
        <w:pStyle w:val="16"/>
        <w:ind w:firstLine="210"/>
      </w:pPr>
    </w:p>
    <w:p>
      <w:pPr>
        <w:rPr>
          <w:rFonts w:ascii="宋体" w:hAnsi="宋体"/>
          <w:b/>
          <w:sz w:val="24"/>
        </w:rPr>
      </w:pPr>
      <w:r>
        <w:rPr>
          <w:rFonts w:hint="eastAsia" w:cs="华文楷体" w:asciiTheme="minorEastAsia" w:hAnsiTheme="minorEastAsia" w:eastAsiaTheme="minorEastAsia"/>
          <w:b/>
          <w:color w:val="000000" w:themeColor="text1"/>
          <w:sz w:val="24"/>
          <w14:textFill>
            <w14:solidFill>
              <w14:schemeClr w14:val="tx1"/>
            </w14:solidFill>
          </w14:textFill>
        </w:rPr>
        <w:t>（九）评分索引表（</w:t>
      </w:r>
      <w:r>
        <w:rPr>
          <w:rFonts w:hint="eastAsia" w:ascii="宋体" w:hAnsi="宋体"/>
          <w:b/>
          <w:sz w:val="24"/>
        </w:rPr>
        <w:t>须标明相关材料在响应文件中的对应页码）</w:t>
      </w:r>
    </w:p>
    <w:p>
      <w:pPr>
        <w:widowControl/>
        <w:jc w:val="left"/>
        <w:rPr>
          <w:rFonts w:ascii="宋体" w:hAnsi="宋体"/>
          <w:b/>
          <w:sz w:val="24"/>
        </w:rPr>
      </w:pPr>
    </w:p>
    <w:tbl>
      <w:tblPr>
        <w:tblStyle w:val="18"/>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488"/>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13" w:type="pct"/>
            <w:noWrap/>
            <w:vAlign w:val="center"/>
          </w:tcPr>
          <w:p>
            <w:pPr>
              <w:pStyle w:val="9"/>
              <w:jc w:val="center"/>
              <w:rPr>
                <w:rFonts w:hAnsi="宋体" w:cs="宋体"/>
                <w:b/>
                <w:bCs/>
                <w:sz w:val="24"/>
              </w:rPr>
            </w:pPr>
            <w:r>
              <w:rPr>
                <w:rFonts w:hint="eastAsia" w:hAnsi="宋体" w:cs="宋体"/>
                <w:b/>
                <w:bCs/>
                <w:sz w:val="24"/>
              </w:rPr>
              <w:t>项目</w:t>
            </w:r>
          </w:p>
        </w:tc>
        <w:tc>
          <w:tcPr>
            <w:tcW w:w="4225" w:type="pct"/>
            <w:noWrap/>
            <w:vAlign w:val="center"/>
          </w:tcPr>
          <w:p>
            <w:pPr>
              <w:pStyle w:val="9"/>
              <w:jc w:val="center"/>
              <w:rPr>
                <w:rFonts w:hAnsi="宋体" w:cs="宋体"/>
                <w:b/>
                <w:bCs/>
                <w:sz w:val="24"/>
              </w:rPr>
            </w:pPr>
            <w:r>
              <w:rPr>
                <w:rFonts w:hint="eastAsia" w:hAnsi="宋体" w:cs="宋体"/>
                <w:b/>
                <w:bCs/>
                <w:sz w:val="24"/>
              </w:rPr>
              <w:t>评分办法</w:t>
            </w:r>
          </w:p>
        </w:tc>
        <w:tc>
          <w:tcPr>
            <w:tcW w:w="360" w:type="pct"/>
            <w:noWrap/>
            <w:vAlign w:val="center"/>
          </w:tcPr>
          <w:p>
            <w:pPr>
              <w:pStyle w:val="9"/>
              <w:jc w:val="center"/>
              <w:rPr>
                <w:rFonts w:hint="eastAsia" w:hAnsi="宋体" w:eastAsia="宋体" w:cs="宋体"/>
                <w:b/>
                <w:bCs/>
                <w:sz w:val="24"/>
                <w:lang w:val="en-US" w:eastAsia="zh-CN"/>
              </w:rPr>
            </w:pPr>
            <w:r>
              <w:rPr>
                <w:rFonts w:hint="eastAsia" w:hAnsi="宋体" w:cs="宋体"/>
                <w:b/>
                <w:bCs/>
                <w:sz w:val="24"/>
                <w:lang w:val="en-US"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13" w:type="pct"/>
            <w:noWrap/>
            <w:vAlign w:val="center"/>
          </w:tcPr>
          <w:p>
            <w:pPr>
              <w:pStyle w:val="9"/>
              <w:rPr>
                <w:rFonts w:hAnsi="宋体" w:cs="宋体"/>
                <w:sz w:val="24"/>
              </w:rPr>
            </w:pPr>
            <w:r>
              <w:rPr>
                <w:rFonts w:hint="eastAsia" w:hAnsi="宋体" w:cs="宋体"/>
                <w:sz w:val="24"/>
              </w:rPr>
              <w:t>价格分（30分）</w:t>
            </w:r>
          </w:p>
        </w:tc>
        <w:tc>
          <w:tcPr>
            <w:tcW w:w="4225" w:type="pct"/>
            <w:noWrap/>
          </w:tcPr>
          <w:p>
            <w:pPr>
              <w:pStyle w:val="9"/>
              <w:rPr>
                <w:rFonts w:hAnsi="宋体" w:cs="宋体"/>
                <w:sz w:val="24"/>
              </w:rPr>
            </w:pPr>
            <w:r>
              <w:rPr>
                <w:rFonts w:hint="eastAsia" w:hAnsi="宋体" w:cs="宋体"/>
                <w:sz w:val="24"/>
              </w:rPr>
              <w:t>采用低价优先法计算，即满足磋商文件要求且最后报价最低的供应商的价格为磋商基准价，其价格分为满分。其他供应商的价格分统一按照下列公式计算： 磋商报价得分=（磋商基准价/最后磋商报价）×30</w:t>
            </w:r>
          </w:p>
        </w:tc>
        <w:tc>
          <w:tcPr>
            <w:tcW w:w="360" w:type="pct"/>
            <w:noWrap/>
          </w:tcPr>
          <w:p>
            <w:pPr>
              <w:pStyle w:val="9"/>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13" w:type="pct"/>
            <w:noWrap/>
            <w:vAlign w:val="center"/>
          </w:tcPr>
          <w:p>
            <w:pPr>
              <w:pStyle w:val="9"/>
              <w:rPr>
                <w:rFonts w:hAnsi="宋体" w:cs="宋体"/>
                <w:sz w:val="24"/>
                <w:highlight w:val="none"/>
              </w:rPr>
            </w:pPr>
            <w:r>
              <w:rPr>
                <w:rFonts w:hint="eastAsia" w:hAnsi="宋体" w:cs="宋体"/>
                <w:sz w:val="24"/>
                <w:highlight w:val="none"/>
              </w:rPr>
              <w:t>企业基本情况（</w:t>
            </w:r>
            <w:r>
              <w:rPr>
                <w:rFonts w:hint="eastAsia" w:hAnsi="宋体" w:cs="宋体"/>
                <w:sz w:val="24"/>
                <w:highlight w:val="none"/>
                <w:lang w:val="en-US" w:eastAsia="zh-CN"/>
              </w:rPr>
              <w:t>6</w:t>
            </w:r>
            <w:r>
              <w:rPr>
                <w:rFonts w:hint="eastAsia" w:hAnsi="宋体" w:cs="宋体"/>
                <w:sz w:val="24"/>
                <w:highlight w:val="none"/>
              </w:rPr>
              <w:t>分）</w:t>
            </w:r>
          </w:p>
        </w:tc>
        <w:tc>
          <w:tcPr>
            <w:tcW w:w="4225" w:type="pct"/>
            <w:noWrap/>
            <w:vAlign w:val="center"/>
          </w:tcPr>
          <w:p>
            <w:pPr>
              <w:pStyle w:val="9"/>
              <w:rPr>
                <w:rFonts w:hAnsi="宋体" w:cs="宋体"/>
                <w:sz w:val="24"/>
                <w:highlight w:val="none"/>
              </w:rPr>
            </w:pPr>
            <w:r>
              <w:rPr>
                <w:rFonts w:hint="eastAsia" w:hAnsi="宋体" w:cs="宋体"/>
                <w:sz w:val="24"/>
                <w:highlight w:val="none"/>
              </w:rPr>
              <w:t>1</w:t>
            </w:r>
            <w:r>
              <w:rPr>
                <w:rFonts w:hint="eastAsia" w:hAnsi="宋体" w:cs="宋体"/>
                <w:sz w:val="24"/>
                <w:highlight w:val="none"/>
                <w:lang w:eastAsia="zh-CN"/>
              </w:rPr>
              <w:t>.</w:t>
            </w:r>
            <w:r>
              <w:rPr>
                <w:rFonts w:hint="eastAsia" w:hAnsi="宋体" w:cs="宋体"/>
                <w:sz w:val="24"/>
                <w:highlight w:val="none"/>
              </w:rPr>
              <w:t>具备演播室设计、系统集成领域的ISO14001认证、ISO9001认证、ISO45001认证。有一项满足得</w:t>
            </w:r>
            <w:r>
              <w:rPr>
                <w:rFonts w:hint="eastAsia" w:hAnsi="宋体" w:cs="宋体"/>
                <w:sz w:val="24"/>
                <w:highlight w:val="none"/>
                <w:lang w:val="en-US" w:eastAsia="zh-CN"/>
              </w:rPr>
              <w:t>1</w:t>
            </w:r>
            <w:r>
              <w:rPr>
                <w:rFonts w:hint="eastAsia" w:hAnsi="宋体" w:cs="宋体"/>
                <w:sz w:val="24"/>
                <w:highlight w:val="none"/>
              </w:rPr>
              <w:t>分，本项最高得</w:t>
            </w:r>
            <w:r>
              <w:rPr>
                <w:rFonts w:hint="eastAsia" w:hAnsi="宋体" w:cs="宋体"/>
                <w:sz w:val="24"/>
                <w:highlight w:val="none"/>
                <w:lang w:val="en-US" w:eastAsia="zh-CN"/>
              </w:rPr>
              <w:t>3</w:t>
            </w:r>
            <w:r>
              <w:rPr>
                <w:rFonts w:hint="eastAsia" w:hAnsi="宋体" w:cs="宋体"/>
                <w:sz w:val="24"/>
                <w:highlight w:val="none"/>
              </w:rPr>
              <w:t>分。</w:t>
            </w:r>
          </w:p>
          <w:p>
            <w:pPr>
              <w:pStyle w:val="9"/>
              <w:rPr>
                <w:rFonts w:hAnsi="宋体" w:cs="宋体"/>
                <w:sz w:val="24"/>
                <w:highlight w:val="none"/>
              </w:rPr>
            </w:pPr>
            <w:r>
              <w:rPr>
                <w:rFonts w:hint="eastAsia" w:hAnsi="宋体" w:cs="宋体"/>
                <w:sz w:val="24"/>
                <w:highlight w:val="none"/>
              </w:rPr>
              <w:t>2</w:t>
            </w:r>
            <w:r>
              <w:rPr>
                <w:rFonts w:hint="eastAsia" w:hAnsi="宋体" w:cs="宋体"/>
                <w:sz w:val="24"/>
                <w:highlight w:val="none"/>
                <w:lang w:eastAsia="zh-CN"/>
              </w:rPr>
              <w:t>.</w:t>
            </w:r>
            <w:r>
              <w:rPr>
                <w:rFonts w:hint="eastAsia" w:hAnsi="宋体" w:cs="宋体"/>
                <w:sz w:val="24"/>
                <w:highlight w:val="none"/>
              </w:rPr>
              <w:t>供应商须具有AAA级企业信用等级证书、企业资信等级证书，提供一项得</w:t>
            </w:r>
            <w:r>
              <w:rPr>
                <w:rFonts w:hint="eastAsia" w:hAnsi="宋体" w:cs="宋体"/>
                <w:sz w:val="24"/>
                <w:highlight w:val="none"/>
                <w:lang w:val="en-US" w:eastAsia="zh-CN"/>
              </w:rPr>
              <w:t>1</w:t>
            </w:r>
            <w:r>
              <w:rPr>
                <w:rFonts w:hint="eastAsia" w:hAnsi="宋体" w:cs="宋体"/>
                <w:sz w:val="24"/>
                <w:highlight w:val="none"/>
              </w:rPr>
              <w:t>分，最高得</w:t>
            </w:r>
            <w:r>
              <w:rPr>
                <w:rFonts w:hint="eastAsia" w:hAnsi="宋体" w:cs="宋体"/>
                <w:sz w:val="24"/>
                <w:highlight w:val="none"/>
                <w:lang w:val="en-US" w:eastAsia="zh-CN"/>
              </w:rPr>
              <w:t>2</w:t>
            </w:r>
            <w:r>
              <w:rPr>
                <w:rFonts w:hint="eastAsia" w:hAnsi="宋体" w:cs="宋体"/>
                <w:sz w:val="24"/>
                <w:highlight w:val="none"/>
              </w:rPr>
              <w:t>分。</w:t>
            </w:r>
          </w:p>
          <w:p>
            <w:pPr>
              <w:pStyle w:val="9"/>
              <w:rPr>
                <w:rFonts w:hAnsi="宋体" w:cs="宋体"/>
                <w:sz w:val="24"/>
                <w:highlight w:val="none"/>
              </w:rPr>
            </w:pPr>
            <w:r>
              <w:rPr>
                <w:rFonts w:hint="eastAsia" w:hAnsi="宋体" w:cs="宋体"/>
                <w:sz w:val="24"/>
                <w:highlight w:val="none"/>
                <w:lang w:val="en-US" w:eastAsia="zh-CN"/>
              </w:rPr>
              <w:t>3</w:t>
            </w:r>
            <w:r>
              <w:rPr>
                <w:rFonts w:hint="eastAsia" w:hAnsi="宋体" w:cs="宋体"/>
                <w:sz w:val="24"/>
                <w:highlight w:val="none"/>
                <w:lang w:eastAsia="zh-CN"/>
              </w:rPr>
              <w:t>.</w:t>
            </w:r>
            <w:r>
              <w:rPr>
                <w:rFonts w:hint="eastAsia" w:hAnsi="宋体" w:cs="宋体"/>
                <w:sz w:val="24"/>
                <w:highlight w:val="none"/>
              </w:rPr>
              <w:t>投标人具有电子与智能化工程专业承包资质或建筑装修装饰工程专业承包资质二级或以上资质得</w:t>
            </w:r>
            <w:r>
              <w:rPr>
                <w:rFonts w:hint="eastAsia" w:hAnsi="宋体" w:cs="宋体"/>
                <w:sz w:val="24"/>
                <w:highlight w:val="none"/>
                <w:lang w:val="en-US" w:eastAsia="zh-CN"/>
              </w:rPr>
              <w:t>1</w:t>
            </w:r>
            <w:r>
              <w:rPr>
                <w:rFonts w:hint="eastAsia" w:hAnsi="宋体" w:cs="宋体"/>
                <w:sz w:val="24"/>
                <w:highlight w:val="none"/>
              </w:rPr>
              <w:t>分。</w:t>
            </w:r>
          </w:p>
          <w:p>
            <w:pPr>
              <w:pStyle w:val="9"/>
              <w:rPr>
                <w:rFonts w:hAnsi="宋体" w:cs="宋体"/>
                <w:sz w:val="24"/>
                <w:highlight w:val="none"/>
              </w:rPr>
            </w:pPr>
            <w:r>
              <w:rPr>
                <w:rFonts w:hint="eastAsia" w:hAnsi="宋体" w:cs="宋体"/>
                <w:sz w:val="24"/>
                <w:highlight w:val="none"/>
              </w:rPr>
              <w:t>注：以上证书需提供证书复印件加盖供应商公章。</w:t>
            </w:r>
          </w:p>
        </w:tc>
        <w:tc>
          <w:tcPr>
            <w:tcW w:w="360" w:type="pct"/>
            <w:noWrap/>
            <w:vAlign w:val="center"/>
          </w:tcPr>
          <w:p>
            <w:pPr>
              <w:pStyle w:val="9"/>
              <w:rPr>
                <w:rFonts w:hint="eastAsia"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13" w:type="pct"/>
            <w:noWrap/>
            <w:vAlign w:val="center"/>
          </w:tcPr>
          <w:p>
            <w:pPr>
              <w:pStyle w:val="9"/>
              <w:rPr>
                <w:rFonts w:hAnsi="宋体" w:cs="宋体"/>
                <w:sz w:val="24"/>
              </w:rPr>
            </w:pPr>
            <w:r>
              <w:rPr>
                <w:rFonts w:hint="eastAsia" w:hAnsi="宋体" w:cs="宋体"/>
                <w:sz w:val="24"/>
              </w:rPr>
              <w:t>类似案例</w:t>
            </w:r>
          </w:p>
          <w:p>
            <w:pPr>
              <w:pStyle w:val="9"/>
              <w:rPr>
                <w:rFonts w:hAnsi="宋体" w:cs="宋体"/>
                <w:sz w:val="24"/>
              </w:rPr>
            </w:pPr>
            <w:r>
              <w:rPr>
                <w:rFonts w:hint="eastAsia" w:hAnsi="宋体" w:cs="宋体"/>
                <w:sz w:val="24"/>
              </w:rPr>
              <w:t>（</w:t>
            </w:r>
            <w:r>
              <w:rPr>
                <w:rFonts w:hint="eastAsia" w:hAnsi="宋体" w:cs="宋体"/>
                <w:sz w:val="24"/>
                <w:lang w:val="en-US" w:eastAsia="zh-CN"/>
              </w:rPr>
              <w:t>5</w:t>
            </w:r>
            <w:r>
              <w:rPr>
                <w:rFonts w:hint="eastAsia" w:hAnsi="宋体" w:cs="宋体"/>
                <w:sz w:val="24"/>
              </w:rPr>
              <w:t>分）</w:t>
            </w:r>
          </w:p>
        </w:tc>
        <w:tc>
          <w:tcPr>
            <w:tcW w:w="4225" w:type="pct"/>
            <w:noWrap/>
            <w:vAlign w:val="center"/>
          </w:tcPr>
          <w:p>
            <w:pPr>
              <w:pStyle w:val="9"/>
              <w:rPr>
                <w:rFonts w:hAnsi="宋体" w:cs="宋体"/>
                <w:sz w:val="24"/>
              </w:rPr>
            </w:pPr>
            <w:r>
              <w:rPr>
                <w:rFonts w:hint="eastAsia" w:hAnsi="宋体" w:cs="宋体"/>
                <w:sz w:val="24"/>
              </w:rPr>
              <w:t>投标人提供2020年</w:t>
            </w:r>
            <w:r>
              <w:rPr>
                <w:rFonts w:hint="eastAsia" w:hAnsi="宋体" w:cs="宋体"/>
                <w:sz w:val="24"/>
                <w:lang w:val="en-US" w:eastAsia="zh-CN"/>
              </w:rPr>
              <w:t>1月1日</w:t>
            </w:r>
            <w:r>
              <w:rPr>
                <w:rFonts w:hint="eastAsia" w:hAnsi="宋体" w:cs="宋体"/>
                <w:sz w:val="24"/>
              </w:rPr>
              <w:t>以来签署的虚拟演播室类似项目合同；每提供一份得</w:t>
            </w:r>
            <w:r>
              <w:rPr>
                <w:rFonts w:hint="eastAsia" w:hAnsi="宋体" w:cs="宋体"/>
                <w:sz w:val="24"/>
                <w:lang w:val="en-US" w:eastAsia="zh-CN"/>
              </w:rPr>
              <w:t>1</w:t>
            </w:r>
            <w:r>
              <w:rPr>
                <w:rFonts w:hint="eastAsia" w:hAnsi="宋体" w:cs="宋体"/>
                <w:sz w:val="24"/>
              </w:rPr>
              <w:t>分，满分</w:t>
            </w:r>
            <w:r>
              <w:rPr>
                <w:rFonts w:hint="eastAsia" w:hAnsi="宋体" w:cs="宋体"/>
                <w:sz w:val="24"/>
                <w:lang w:val="en-US" w:eastAsia="zh-CN"/>
              </w:rPr>
              <w:t>5</w:t>
            </w:r>
            <w:r>
              <w:rPr>
                <w:rFonts w:hint="eastAsia" w:hAnsi="宋体" w:cs="宋体"/>
                <w:sz w:val="24"/>
              </w:rPr>
              <w:t>分。须提供合同原件</w:t>
            </w:r>
            <w:r>
              <w:rPr>
                <w:rFonts w:hint="eastAsia" w:hAnsi="宋体" w:cs="宋体"/>
                <w:sz w:val="24"/>
                <w:lang w:val="en-US" w:eastAsia="zh-CN"/>
              </w:rPr>
              <w:t>备查</w:t>
            </w:r>
            <w:r>
              <w:rPr>
                <w:rFonts w:hint="eastAsia" w:hAnsi="宋体" w:cs="宋体"/>
                <w:sz w:val="24"/>
              </w:rPr>
              <w:t>。</w:t>
            </w:r>
          </w:p>
        </w:tc>
        <w:tc>
          <w:tcPr>
            <w:tcW w:w="360" w:type="pct"/>
            <w:noWrap/>
            <w:vAlign w:val="center"/>
          </w:tcPr>
          <w:p>
            <w:pPr>
              <w:pStyle w:val="9"/>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13" w:type="pct"/>
            <w:noWrap/>
            <w:vAlign w:val="center"/>
          </w:tcPr>
          <w:p>
            <w:pPr>
              <w:pStyle w:val="9"/>
              <w:rPr>
                <w:rFonts w:ascii="宋体" w:hAnsi="宋体" w:eastAsia="宋体" w:cs="宋体"/>
                <w:kern w:val="2"/>
                <w:sz w:val="24"/>
                <w:szCs w:val="21"/>
                <w:lang w:val="en-US" w:eastAsia="zh-CN" w:bidi="ar-SA"/>
              </w:rPr>
            </w:pPr>
            <w:r>
              <w:rPr>
                <w:rFonts w:hint="eastAsia" w:hAnsi="宋体" w:cs="宋体"/>
                <w:sz w:val="24"/>
              </w:rPr>
              <w:t>技术方案(5分)</w:t>
            </w:r>
          </w:p>
        </w:tc>
        <w:tc>
          <w:tcPr>
            <w:tcW w:w="4225" w:type="pct"/>
            <w:noWrap/>
            <w:vAlign w:val="center"/>
          </w:tcPr>
          <w:p>
            <w:pPr>
              <w:pStyle w:val="9"/>
              <w:rPr>
                <w:rFonts w:hAnsi="宋体" w:cs="宋体"/>
                <w:sz w:val="24"/>
              </w:rPr>
            </w:pPr>
            <w:r>
              <w:rPr>
                <w:rFonts w:hint="eastAsia" w:hAnsi="宋体" w:cs="宋体"/>
                <w:sz w:val="24"/>
              </w:rPr>
              <w:t>技术方案：投标人需在投标时对虚拟演播室进行初步设计，提供项目施工方案，明确施工计划、提供效果图（包括且不限于各功能区效果图、俯视图、景区图、镜头图等）、完整的施工图、施工一览表等。投标人依据对项目理解，设计技术方案，对系统整体架构、设备与设备间连接方式、设备与应用系统间对接方案及软硬件接口、应用系统与应用系统之间的逻辑关系及接软件接口，以及各个系统实现的功能等有详细描述。</w:t>
            </w:r>
          </w:p>
          <w:p>
            <w:pPr>
              <w:pStyle w:val="9"/>
              <w:rPr>
                <w:rFonts w:ascii="宋体" w:hAnsi="宋体" w:eastAsia="宋体" w:cs="宋体"/>
                <w:kern w:val="2"/>
                <w:sz w:val="24"/>
                <w:szCs w:val="21"/>
                <w:lang w:val="en-US" w:eastAsia="zh-CN" w:bidi="ar-SA"/>
              </w:rPr>
            </w:pPr>
            <w:r>
              <w:rPr>
                <w:rFonts w:hint="eastAsia" w:hAnsi="宋体" w:cs="宋体"/>
                <w:sz w:val="24"/>
              </w:rPr>
              <w:t>依据投标人提交的投标方案和现场述标情况进行综合评定。完善且贴近采购人需求的得5分，较完整、较科学、较合理，得3 分；基本合理、描述一般得1 分；具有明显不合理项、描述欠缺、存在实施难度或不提供不得分。</w:t>
            </w:r>
          </w:p>
        </w:tc>
        <w:tc>
          <w:tcPr>
            <w:tcW w:w="360" w:type="pct"/>
            <w:noWrap/>
            <w:vAlign w:val="center"/>
          </w:tcPr>
          <w:p>
            <w:pPr>
              <w:pStyle w:val="9"/>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13" w:type="pct"/>
            <w:noWrap/>
            <w:vAlign w:val="center"/>
          </w:tcPr>
          <w:p>
            <w:pPr>
              <w:widowControl/>
              <w:jc w:val="center"/>
              <w:rPr>
                <w:rFonts w:ascii="宋体" w:hAnsi="宋体" w:cs="宋体"/>
                <w:color w:val="000000"/>
                <w:sz w:val="24"/>
              </w:rPr>
            </w:pPr>
            <w:r>
              <w:rPr>
                <w:rFonts w:hint="eastAsia" w:ascii="宋体" w:hAnsi="宋体" w:cs="宋体"/>
                <w:color w:val="000000"/>
                <w:sz w:val="24"/>
              </w:rPr>
              <w:t>技术参数及功能响应</w:t>
            </w:r>
          </w:p>
          <w:p>
            <w:pPr>
              <w:widowControl/>
              <w:jc w:val="center"/>
              <w:rPr>
                <w:rFonts w:ascii="宋体" w:hAnsi="宋体" w:eastAsia="宋体" w:cs="楷体"/>
                <w:kern w:val="0"/>
                <w:sz w:val="24"/>
                <w:szCs w:val="24"/>
                <w:lang w:val="en-US" w:eastAsia="zh-CN" w:bidi="ar-SA"/>
              </w:rPr>
            </w:pPr>
            <w:r>
              <w:rPr>
                <w:rFonts w:hint="eastAsia" w:ascii="宋体" w:hAnsi="宋体" w:cs="宋体"/>
                <w:color w:val="000000"/>
                <w:sz w:val="24"/>
              </w:rPr>
              <w:t>（</w:t>
            </w:r>
            <w:r>
              <w:rPr>
                <w:rFonts w:hint="eastAsia" w:ascii="宋体" w:hAnsi="宋体" w:cs="宋体"/>
                <w:color w:val="000000"/>
                <w:sz w:val="24"/>
                <w:lang w:val="en-US" w:eastAsia="zh-CN"/>
              </w:rPr>
              <w:t>24</w:t>
            </w:r>
            <w:r>
              <w:rPr>
                <w:rFonts w:hint="eastAsia" w:ascii="宋体" w:hAnsi="宋体" w:cs="宋体"/>
                <w:color w:val="000000"/>
                <w:sz w:val="24"/>
              </w:rPr>
              <w:t>分）</w:t>
            </w:r>
          </w:p>
        </w:tc>
        <w:tc>
          <w:tcPr>
            <w:tcW w:w="4225" w:type="pct"/>
            <w:noWrap/>
            <w:vAlign w:val="center"/>
          </w:tcPr>
          <w:p>
            <w:pPr>
              <w:widowControl/>
              <w:rPr>
                <w:rFonts w:ascii="宋体" w:hAnsi="宋体" w:eastAsia="宋体" w:cs="楷体"/>
                <w:kern w:val="0"/>
                <w:sz w:val="24"/>
                <w:szCs w:val="24"/>
                <w:lang w:val="en-US" w:eastAsia="zh-CN" w:bidi="ar-SA"/>
              </w:rPr>
            </w:pPr>
            <w:r>
              <w:rPr>
                <w:rFonts w:hint="eastAsia" w:ascii="宋体" w:hAnsi="宋体" w:cs="楷体"/>
                <w:color w:val="000000"/>
                <w:sz w:val="24"/>
              </w:rPr>
              <w:t>投标产品技术参数全部符合磋商文件技术要求的得</w:t>
            </w:r>
            <w:r>
              <w:rPr>
                <w:rFonts w:hint="eastAsia" w:ascii="宋体" w:hAnsi="宋体" w:cs="楷体"/>
                <w:color w:val="000000"/>
                <w:sz w:val="24"/>
                <w:lang w:val="en-US" w:eastAsia="zh-CN"/>
              </w:rPr>
              <w:t>20</w:t>
            </w:r>
            <w:r>
              <w:rPr>
                <w:rFonts w:hint="eastAsia" w:ascii="宋体" w:hAnsi="宋体" w:cs="楷体"/>
                <w:color w:val="000000"/>
                <w:sz w:val="24"/>
              </w:rPr>
              <w:t>分。每负偏离一项扣2分，扣完为止；有一项评委组认可的正偏离加1分。本项最高得</w:t>
            </w:r>
            <w:r>
              <w:rPr>
                <w:rFonts w:hint="eastAsia" w:ascii="宋体" w:hAnsi="宋体" w:cs="楷体"/>
                <w:color w:val="000000"/>
                <w:sz w:val="24"/>
                <w:lang w:val="en-US" w:eastAsia="zh-CN"/>
              </w:rPr>
              <w:t>24</w:t>
            </w:r>
            <w:r>
              <w:rPr>
                <w:rFonts w:hint="eastAsia" w:ascii="宋体" w:hAnsi="宋体" w:cs="楷体"/>
                <w:color w:val="000000"/>
                <w:sz w:val="24"/>
              </w:rPr>
              <w:t>分。</w:t>
            </w:r>
          </w:p>
        </w:tc>
        <w:tc>
          <w:tcPr>
            <w:tcW w:w="360" w:type="pct"/>
            <w:noWrap/>
            <w:vAlign w:val="center"/>
          </w:tcPr>
          <w:p>
            <w:pPr>
              <w:widowControl/>
              <w:rPr>
                <w:rFonts w:hint="eastAsia" w:ascii="宋体" w:hAnsi="宋体" w:cs="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13" w:type="pct"/>
            <w:noWrap/>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品牌选型</w:t>
            </w:r>
          </w:p>
          <w:p>
            <w:pPr>
              <w:widowControl/>
              <w:jc w:val="center"/>
              <w:rPr>
                <w:rFonts w:ascii="宋体" w:hAnsi="宋体" w:eastAsia="宋体" w:cs="宋体"/>
                <w:color w:val="000000"/>
                <w:kern w:val="2"/>
                <w:sz w:val="24"/>
                <w:szCs w:val="24"/>
                <w:lang w:val="en-US" w:eastAsia="zh-CN" w:bidi="ar-SA"/>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tc>
        <w:tc>
          <w:tcPr>
            <w:tcW w:w="4225" w:type="pct"/>
            <w:noWrap/>
            <w:vAlign w:val="center"/>
          </w:tcPr>
          <w:p>
            <w:pPr>
              <w:widowControl/>
              <w:rPr>
                <w:rFonts w:ascii="宋体" w:hAnsi="宋体" w:eastAsia="宋体" w:cs="楷体"/>
                <w:color w:val="000000"/>
                <w:kern w:val="2"/>
                <w:sz w:val="24"/>
                <w:szCs w:val="24"/>
                <w:lang w:val="en-US" w:eastAsia="zh-CN" w:bidi="ar-SA"/>
              </w:rPr>
            </w:pPr>
            <w:r>
              <w:rPr>
                <w:rFonts w:hint="eastAsia" w:cs="宋体" w:asciiTheme="minorEastAsia" w:hAnsiTheme="minorEastAsia" w:eastAsiaTheme="minorEastAsia"/>
                <w:kern w:val="0"/>
                <w:sz w:val="24"/>
              </w:rPr>
              <w:t>综合考察投标人所投设备的品牌选型及样品的实际情况进行打分。优等</w:t>
            </w:r>
            <w:r>
              <w:rPr>
                <w:rFonts w:hint="eastAsia" w:cs="宋体" w:asciiTheme="minorEastAsia" w:hAnsiTheme="minorEastAsia"/>
                <w:kern w:val="0"/>
                <w:sz w:val="24"/>
                <w:lang w:val="en-US" w:eastAsia="zh-CN"/>
              </w:rPr>
              <w:t>9-10</w:t>
            </w:r>
            <w:r>
              <w:rPr>
                <w:rFonts w:hint="eastAsia" w:cs="宋体" w:asciiTheme="minorEastAsia" w:hAnsiTheme="minorEastAsia" w:eastAsiaTheme="minorEastAsia"/>
                <w:kern w:val="0"/>
                <w:sz w:val="24"/>
              </w:rPr>
              <w:t>分；良等的</w:t>
            </w:r>
            <w:r>
              <w:rPr>
                <w:rFonts w:hint="eastAsia" w:cs="宋体" w:asciiTheme="minorEastAsia" w:hAnsiTheme="minorEastAsia"/>
                <w:kern w:val="0"/>
                <w:sz w:val="24"/>
                <w:lang w:val="en-US" w:eastAsia="zh-CN"/>
              </w:rPr>
              <w:t>7</w:t>
            </w:r>
            <w:r>
              <w:rPr>
                <w:rFonts w:hint="eastAsia" w:cs="宋体" w:asciiTheme="minorEastAsia" w:hAnsiTheme="minorEastAsia" w:eastAsiaTheme="minorEastAsia"/>
                <w:kern w:val="0"/>
                <w:sz w:val="24"/>
              </w:rPr>
              <w:t>-</w:t>
            </w:r>
            <w:r>
              <w:rPr>
                <w:rFonts w:hint="eastAsia" w:cs="宋体" w:asciiTheme="minorEastAsia" w:hAnsiTheme="minorEastAsia"/>
                <w:kern w:val="0"/>
                <w:sz w:val="24"/>
                <w:lang w:val="en-US" w:eastAsia="zh-CN"/>
              </w:rPr>
              <w:t>8</w:t>
            </w:r>
            <w:r>
              <w:rPr>
                <w:rFonts w:hint="eastAsia" w:cs="宋体" w:asciiTheme="minorEastAsia" w:hAnsiTheme="minorEastAsia" w:eastAsiaTheme="minorEastAsia"/>
                <w:kern w:val="0"/>
                <w:sz w:val="24"/>
              </w:rPr>
              <w:t>分，一般的</w:t>
            </w:r>
            <w:r>
              <w:rPr>
                <w:rFonts w:hint="eastAsia" w:cs="宋体" w:asciiTheme="minorEastAsia" w:hAnsiTheme="minorEastAsia"/>
                <w:kern w:val="0"/>
                <w:sz w:val="24"/>
                <w:lang w:val="en-US" w:eastAsia="zh-CN"/>
              </w:rPr>
              <w:t>6</w:t>
            </w:r>
            <w:r>
              <w:rPr>
                <w:rFonts w:hint="eastAsia" w:cs="宋体" w:asciiTheme="minorEastAsia" w:hAnsiTheme="minorEastAsia" w:eastAsiaTheme="minorEastAsia"/>
                <w:kern w:val="0"/>
                <w:sz w:val="24"/>
              </w:rPr>
              <w:t>分，其他的</w:t>
            </w:r>
            <w:r>
              <w:rPr>
                <w:rFonts w:hint="eastAsia" w:cs="宋体" w:asciiTheme="minorEastAsia" w:hAnsiTheme="minorEastAsia"/>
                <w:kern w:val="0"/>
                <w:sz w:val="24"/>
                <w:lang w:val="en-US" w:eastAsia="zh-CN"/>
              </w:rPr>
              <w:t>6</w:t>
            </w:r>
            <w:r>
              <w:rPr>
                <w:rFonts w:hint="eastAsia" w:cs="宋体" w:asciiTheme="minorEastAsia" w:hAnsiTheme="minorEastAsia" w:eastAsiaTheme="minorEastAsia"/>
                <w:kern w:val="0"/>
                <w:sz w:val="24"/>
              </w:rPr>
              <w:t>分以下。</w:t>
            </w:r>
          </w:p>
        </w:tc>
        <w:tc>
          <w:tcPr>
            <w:tcW w:w="360" w:type="pct"/>
            <w:noWrap/>
            <w:vAlign w:val="center"/>
          </w:tcPr>
          <w:p>
            <w:pPr>
              <w:widowControl/>
              <w:rPr>
                <w:rFonts w:hint="eastAsia"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13" w:type="pct"/>
            <w:noWrap/>
            <w:vAlign w:val="center"/>
          </w:tcPr>
          <w:p>
            <w:pPr>
              <w:pStyle w:val="9"/>
              <w:rPr>
                <w:rFonts w:hAnsi="宋体" w:cs="宋体"/>
                <w:sz w:val="24"/>
              </w:rPr>
            </w:pPr>
            <w:r>
              <w:rPr>
                <w:rFonts w:hint="eastAsia" w:hAnsi="宋体" w:cs="宋体"/>
                <w:sz w:val="24"/>
              </w:rPr>
              <w:t>组织实施方案(</w:t>
            </w:r>
            <w:r>
              <w:rPr>
                <w:rFonts w:hint="eastAsia" w:hAnsi="宋体" w:cs="宋体"/>
                <w:sz w:val="24"/>
                <w:lang w:val="en-US" w:eastAsia="zh-CN"/>
              </w:rPr>
              <w:t>15</w:t>
            </w:r>
            <w:r>
              <w:rPr>
                <w:rFonts w:hint="eastAsia" w:hAnsi="宋体" w:cs="宋体"/>
                <w:sz w:val="24"/>
              </w:rPr>
              <w:t>分)</w:t>
            </w:r>
          </w:p>
        </w:tc>
        <w:tc>
          <w:tcPr>
            <w:tcW w:w="4225" w:type="pct"/>
            <w:noWrap/>
            <w:vAlign w:val="center"/>
          </w:tcPr>
          <w:p>
            <w:pPr>
              <w:pStyle w:val="9"/>
              <w:rPr>
                <w:rFonts w:hAnsi="宋体" w:cs="宋体"/>
                <w:sz w:val="24"/>
              </w:rPr>
            </w:pPr>
            <w:r>
              <w:rPr>
                <w:rFonts w:hint="eastAsia" w:hAnsi="宋体" w:cs="宋体"/>
                <w:sz w:val="24"/>
              </w:rPr>
              <w:t xml:space="preserve">施工组织设计应具备的基本项目和编排顺序如下： </w:t>
            </w:r>
          </w:p>
          <w:p>
            <w:pPr>
              <w:pStyle w:val="9"/>
              <w:rPr>
                <w:rFonts w:hAnsi="宋体" w:cs="宋体"/>
                <w:sz w:val="24"/>
              </w:rPr>
            </w:pPr>
            <w:r>
              <w:rPr>
                <w:rFonts w:hint="eastAsia" w:hAnsi="宋体" w:cs="宋体"/>
                <w:sz w:val="24"/>
                <w:lang w:val="en-US" w:eastAsia="zh-CN"/>
              </w:rPr>
              <w:t>1.</w:t>
            </w:r>
            <w:r>
              <w:rPr>
                <w:rFonts w:hint="eastAsia" w:hAnsi="宋体" w:cs="宋体"/>
                <w:sz w:val="24"/>
              </w:rPr>
              <w:t xml:space="preserve">施工总体部署 （3 分）： </w:t>
            </w:r>
          </w:p>
          <w:p>
            <w:pPr>
              <w:pStyle w:val="9"/>
              <w:rPr>
                <w:rFonts w:hAnsi="宋体" w:cs="宋体"/>
                <w:sz w:val="24"/>
              </w:rPr>
            </w:pPr>
            <w:r>
              <w:rPr>
                <w:rFonts w:hint="eastAsia" w:hAnsi="宋体" w:cs="宋体"/>
                <w:sz w:val="24"/>
              </w:rPr>
              <w:t xml:space="preserve">工作内容思路清晰、路线正确，切合项目实际，合理可行，得 3 分；较合理、严密、描述较为详细，得 2 分；基本合理、描述一般得 1 分；具有明显不合理 项、描述欠缺、存在实施难度或不提供不得分。 </w:t>
            </w:r>
          </w:p>
          <w:p>
            <w:pPr>
              <w:pStyle w:val="9"/>
              <w:rPr>
                <w:rFonts w:hAnsi="宋体" w:cs="宋体"/>
                <w:sz w:val="24"/>
              </w:rPr>
            </w:pPr>
            <w:r>
              <w:rPr>
                <w:rFonts w:hint="eastAsia" w:hAnsi="宋体" w:cs="宋体"/>
                <w:sz w:val="24"/>
                <w:lang w:val="en-US" w:eastAsia="zh-CN"/>
              </w:rPr>
              <w:t>2.</w:t>
            </w:r>
            <w:r>
              <w:rPr>
                <w:rFonts w:hint="eastAsia" w:hAnsi="宋体" w:cs="宋体"/>
                <w:sz w:val="24"/>
              </w:rPr>
              <w:t xml:space="preserve">主要分部、分项施工工艺和方法（3 分）： </w:t>
            </w:r>
          </w:p>
          <w:p>
            <w:pPr>
              <w:pStyle w:val="9"/>
              <w:rPr>
                <w:rFonts w:hAnsi="宋体" w:cs="宋体"/>
                <w:sz w:val="24"/>
              </w:rPr>
            </w:pPr>
            <w:r>
              <w:rPr>
                <w:rFonts w:hint="eastAsia" w:hAnsi="宋体" w:cs="宋体"/>
                <w:sz w:val="24"/>
              </w:rPr>
              <w:t xml:space="preserve">工艺和方法，科学严谨可行的得 3 分；较合理、严密、描述较为详细，得 2 分；基本合理、描述一般得 1 分；具有明显不合理项、描述欠缺、存在实施难度或 不提供不得分。 </w:t>
            </w:r>
          </w:p>
          <w:p>
            <w:pPr>
              <w:pStyle w:val="9"/>
              <w:rPr>
                <w:rFonts w:hAnsi="宋体" w:cs="宋体"/>
                <w:sz w:val="24"/>
              </w:rPr>
            </w:pPr>
            <w:r>
              <w:rPr>
                <w:rFonts w:hint="eastAsia" w:hAnsi="宋体" w:cs="宋体"/>
                <w:sz w:val="24"/>
                <w:lang w:val="en-US" w:eastAsia="zh-CN"/>
              </w:rPr>
              <w:t>3.</w:t>
            </w:r>
            <w:r>
              <w:rPr>
                <w:rFonts w:hint="eastAsia" w:hAnsi="宋体" w:cs="宋体"/>
                <w:sz w:val="24"/>
              </w:rPr>
              <w:t xml:space="preserve">针对本工程特点采用的特殊措施（3 分）： </w:t>
            </w:r>
          </w:p>
          <w:p>
            <w:pPr>
              <w:pStyle w:val="9"/>
              <w:rPr>
                <w:rFonts w:hAnsi="宋体" w:cs="宋体"/>
                <w:sz w:val="24"/>
              </w:rPr>
            </w:pPr>
            <w:r>
              <w:rPr>
                <w:rFonts w:hint="eastAsia" w:hAnsi="宋体" w:cs="宋体"/>
                <w:sz w:val="24"/>
              </w:rPr>
              <w:t xml:space="preserve">措施合理、可行，得 3 分；较完整、较科学、较合理，得 2 分；基本合理、描述一般得 1 分；具有明显不合理项、描述欠缺、存在实施难度或不提供不得分。 </w:t>
            </w:r>
          </w:p>
          <w:p>
            <w:pPr>
              <w:pStyle w:val="9"/>
              <w:rPr>
                <w:rFonts w:hAnsi="宋体" w:cs="宋体"/>
                <w:sz w:val="24"/>
              </w:rPr>
            </w:pPr>
            <w:r>
              <w:rPr>
                <w:rFonts w:hint="eastAsia" w:hAnsi="宋体" w:cs="宋体"/>
                <w:sz w:val="24"/>
                <w:lang w:val="en-US" w:eastAsia="zh-CN"/>
              </w:rPr>
              <w:t>4.</w:t>
            </w:r>
            <w:r>
              <w:rPr>
                <w:rFonts w:hint="eastAsia" w:hAnsi="宋体" w:cs="宋体"/>
                <w:sz w:val="24"/>
              </w:rPr>
              <w:t xml:space="preserve">工期保证措施（3分）： </w:t>
            </w:r>
          </w:p>
          <w:p>
            <w:pPr>
              <w:pStyle w:val="9"/>
              <w:rPr>
                <w:rFonts w:hAnsi="宋体" w:cs="宋体"/>
                <w:sz w:val="24"/>
              </w:rPr>
            </w:pPr>
            <w:r>
              <w:rPr>
                <w:rFonts w:hint="eastAsia" w:hAnsi="宋体" w:cs="宋体"/>
                <w:sz w:val="24"/>
              </w:rPr>
              <w:t xml:space="preserve">严格执行工期要求，制定严谨的施工计划表，工期安排合理、人员组织高效，职责分工明确，得3 分；较完整、较科学、较合理，得 2分；不完整且科学性、合理性及可行性欠缺，得 1 分；未提供的不得分。  </w:t>
            </w:r>
          </w:p>
          <w:p>
            <w:pPr>
              <w:pStyle w:val="9"/>
              <w:rPr>
                <w:rFonts w:hAnsi="宋体" w:cs="宋体"/>
                <w:sz w:val="24"/>
              </w:rPr>
            </w:pPr>
            <w:r>
              <w:rPr>
                <w:rFonts w:hint="eastAsia" w:hAnsi="宋体" w:cs="宋体"/>
                <w:sz w:val="24"/>
                <w:lang w:val="en-US" w:eastAsia="zh-CN"/>
              </w:rPr>
              <w:t>5.</w:t>
            </w:r>
            <w:r>
              <w:rPr>
                <w:rFonts w:hint="eastAsia" w:hAnsi="宋体" w:cs="宋体"/>
                <w:sz w:val="24"/>
              </w:rPr>
              <w:t xml:space="preserve">安全生产和文明施工措施（3分）： </w:t>
            </w:r>
          </w:p>
          <w:p>
            <w:pPr>
              <w:pStyle w:val="9"/>
              <w:rPr>
                <w:rFonts w:hAnsi="宋体" w:cs="宋体"/>
                <w:sz w:val="24"/>
              </w:rPr>
            </w:pPr>
            <w:r>
              <w:rPr>
                <w:rFonts w:hint="eastAsia" w:hAnsi="宋体" w:cs="宋体"/>
                <w:sz w:val="24"/>
              </w:rPr>
              <w:t>措施合理、可行，得 3 分；较完整、较科学、较合理，得 2 分；基本合理、描述一般得 1 分；具有明显不合理项、描述欠缺、存在实施难度或不提供不得分。</w:t>
            </w:r>
          </w:p>
        </w:tc>
        <w:tc>
          <w:tcPr>
            <w:tcW w:w="360" w:type="pct"/>
            <w:noWrap/>
            <w:vAlign w:val="center"/>
          </w:tcPr>
          <w:p>
            <w:pPr>
              <w:pStyle w:val="9"/>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3" w:type="pct"/>
            <w:noWrap/>
            <w:vAlign w:val="center"/>
          </w:tcPr>
          <w:p>
            <w:pPr>
              <w:pStyle w:val="9"/>
              <w:rPr>
                <w:rFonts w:hint="eastAsia" w:ascii="宋体" w:hAnsi="宋体" w:eastAsia="宋体" w:cs="宋体"/>
                <w:kern w:val="2"/>
                <w:sz w:val="24"/>
                <w:szCs w:val="21"/>
                <w:lang w:val="en-US" w:eastAsia="zh-CN" w:bidi="ar-SA"/>
              </w:rPr>
            </w:pPr>
            <w:r>
              <w:rPr>
                <w:rFonts w:hint="eastAsia" w:hAnsi="宋体" w:cs="宋体"/>
                <w:sz w:val="24"/>
              </w:rPr>
              <w:t>服务承诺书（</w:t>
            </w:r>
            <w:r>
              <w:rPr>
                <w:rFonts w:hint="eastAsia" w:hAnsi="宋体" w:cs="宋体"/>
                <w:sz w:val="24"/>
                <w:lang w:val="en-US" w:eastAsia="zh-CN"/>
              </w:rPr>
              <w:t>5</w:t>
            </w:r>
            <w:r>
              <w:rPr>
                <w:rFonts w:hint="eastAsia" w:hAnsi="宋体" w:cs="宋体"/>
                <w:sz w:val="24"/>
              </w:rPr>
              <w:t>分）</w:t>
            </w:r>
          </w:p>
        </w:tc>
        <w:tc>
          <w:tcPr>
            <w:tcW w:w="4225" w:type="pct"/>
            <w:noWrap/>
            <w:vAlign w:val="center"/>
          </w:tcPr>
          <w:p>
            <w:pPr>
              <w:pStyle w:val="9"/>
              <w:rPr>
                <w:rFonts w:hAnsi="宋体" w:cs="宋体"/>
                <w:sz w:val="24"/>
              </w:rPr>
            </w:pPr>
            <w:r>
              <w:rPr>
                <w:rFonts w:hint="eastAsia" w:hAnsi="宋体" w:cs="宋体"/>
                <w:sz w:val="24"/>
              </w:rPr>
              <w:t>1</w:t>
            </w:r>
            <w:r>
              <w:rPr>
                <w:rFonts w:hint="eastAsia" w:hAnsi="宋体" w:cs="宋体"/>
                <w:sz w:val="24"/>
                <w:lang w:eastAsia="zh-CN"/>
              </w:rPr>
              <w:t>.</w:t>
            </w:r>
            <w:r>
              <w:rPr>
                <w:rFonts w:hint="eastAsia" w:hAnsi="宋体" w:cs="宋体"/>
                <w:sz w:val="24"/>
              </w:rPr>
              <w:t>提供详细且切实可行的售后服务计划和保证措施，包括服务响应时间、服务承诺、备用品的供应保障等得标准分。</w:t>
            </w:r>
            <w:r>
              <w:rPr>
                <w:rFonts w:hint="eastAsia" w:hAnsi="宋体" w:cs="宋体"/>
                <w:sz w:val="24"/>
                <w:lang w:val="en-US" w:eastAsia="zh-CN"/>
              </w:rPr>
              <w:t>提供承诺函</w:t>
            </w:r>
            <w:r>
              <w:rPr>
                <w:rFonts w:hint="eastAsia" w:hAnsi="宋体" w:cs="宋体"/>
                <w:sz w:val="24"/>
              </w:rPr>
              <w:t>并加盖公章</w:t>
            </w:r>
            <w:r>
              <w:rPr>
                <w:rFonts w:hint="eastAsia" w:hAnsi="宋体" w:cs="宋体"/>
                <w:sz w:val="24"/>
                <w:lang w:val="en-US" w:eastAsia="zh-CN"/>
              </w:rPr>
              <w:t>得2分，</w:t>
            </w:r>
            <w:r>
              <w:rPr>
                <w:rFonts w:hint="eastAsia" w:hAnsi="宋体" w:cs="宋体"/>
                <w:sz w:val="24"/>
              </w:rPr>
              <w:t>未提供不得分。</w:t>
            </w:r>
          </w:p>
          <w:p>
            <w:pPr>
              <w:pStyle w:val="9"/>
              <w:rPr>
                <w:rFonts w:hAnsi="宋体" w:cs="宋体"/>
                <w:sz w:val="24"/>
              </w:rPr>
            </w:pPr>
            <w:r>
              <w:rPr>
                <w:rFonts w:hint="eastAsia" w:hAnsi="宋体" w:cs="宋体"/>
                <w:sz w:val="24"/>
              </w:rPr>
              <w:t>2</w:t>
            </w:r>
            <w:r>
              <w:rPr>
                <w:rFonts w:hint="eastAsia" w:hAnsi="宋体" w:cs="宋体"/>
                <w:sz w:val="24"/>
                <w:lang w:eastAsia="zh-CN"/>
              </w:rPr>
              <w:t>.</w:t>
            </w:r>
            <w:r>
              <w:rPr>
                <w:rFonts w:hint="eastAsia" w:hAnsi="宋体" w:cs="宋体"/>
                <w:sz w:val="24"/>
              </w:rPr>
              <w:t>为保证售后服务的响应速度，要求中标人在免费服务期内安排1名工程师专人负责采购人的售后技术支撑，保证工程师24小时通讯畅通，并能够1小时内到现场提供技术保障服务。提供质保和服务承诺书并加盖公章得1分</w:t>
            </w:r>
            <w:r>
              <w:rPr>
                <w:rFonts w:hint="eastAsia" w:hAnsi="宋体" w:cs="宋体"/>
                <w:sz w:val="24"/>
                <w:lang w:eastAsia="zh-CN"/>
              </w:rPr>
              <w:t>，</w:t>
            </w:r>
            <w:r>
              <w:rPr>
                <w:rFonts w:hint="eastAsia" w:hAnsi="宋体" w:cs="宋体"/>
                <w:sz w:val="24"/>
              </w:rPr>
              <w:t>未提供不得分。</w:t>
            </w:r>
          </w:p>
          <w:p>
            <w:pPr>
              <w:pStyle w:val="9"/>
              <w:rPr>
                <w:rFonts w:hint="eastAsia" w:hAnsi="宋体" w:cs="宋体"/>
                <w:sz w:val="24"/>
              </w:rPr>
            </w:pPr>
            <w:r>
              <w:rPr>
                <w:rFonts w:hint="eastAsia" w:hAnsi="宋体" w:cs="宋体"/>
                <w:sz w:val="24"/>
              </w:rPr>
              <w:t>3</w:t>
            </w:r>
            <w:r>
              <w:rPr>
                <w:rFonts w:hint="eastAsia" w:hAnsi="宋体" w:cs="宋体"/>
                <w:sz w:val="24"/>
                <w:lang w:eastAsia="zh-CN"/>
              </w:rPr>
              <w:t>.</w:t>
            </w:r>
            <w:r>
              <w:rPr>
                <w:rFonts w:hint="eastAsia" w:hAnsi="宋体" w:cs="宋体"/>
                <w:sz w:val="24"/>
              </w:rPr>
              <w:t>中标人提供三年内重大活动现场技术保障，提供承诺函并加盖公章得1分</w:t>
            </w:r>
            <w:r>
              <w:rPr>
                <w:rFonts w:hint="eastAsia" w:hAnsi="宋体" w:cs="宋体"/>
                <w:sz w:val="24"/>
                <w:lang w:eastAsia="zh-CN"/>
              </w:rPr>
              <w:t>，</w:t>
            </w:r>
            <w:r>
              <w:rPr>
                <w:rFonts w:hint="eastAsia" w:hAnsi="宋体" w:cs="宋体"/>
                <w:sz w:val="24"/>
              </w:rPr>
              <w:t>未提供不得分。</w:t>
            </w:r>
          </w:p>
          <w:p>
            <w:pPr>
              <w:pStyle w:val="9"/>
              <w:rPr>
                <w:rFonts w:hint="eastAsia" w:ascii="宋体" w:hAnsi="宋体" w:eastAsia="宋体" w:cs="宋体"/>
                <w:kern w:val="2"/>
                <w:sz w:val="24"/>
                <w:szCs w:val="21"/>
                <w:lang w:val="en-US" w:eastAsia="zh-CN" w:bidi="ar-SA"/>
              </w:rPr>
            </w:pPr>
            <w:r>
              <w:rPr>
                <w:rFonts w:hint="eastAsia" w:hAnsi="宋体" w:cs="宋体"/>
                <w:sz w:val="24"/>
              </w:rPr>
              <w:t>投标人承诺针对虚拟演播室中的各类型设备，在部署调试安装完成后，免费向用户方演播室管理人员提供现场技术培训，提供2次以上现场技术培训的得标准分，少于2次或未承诺的不得分。</w:t>
            </w:r>
            <w:r>
              <w:rPr>
                <w:rFonts w:hint="eastAsia" w:hAnsi="宋体" w:cs="宋体"/>
                <w:sz w:val="24"/>
                <w:lang w:val="en-US" w:eastAsia="zh-CN"/>
              </w:rPr>
              <w:t>提供承诺函</w:t>
            </w:r>
            <w:r>
              <w:rPr>
                <w:rFonts w:hint="eastAsia" w:hAnsi="宋体" w:cs="宋体"/>
                <w:sz w:val="24"/>
              </w:rPr>
              <w:t>并加盖公章</w:t>
            </w:r>
            <w:r>
              <w:rPr>
                <w:rFonts w:hint="eastAsia" w:hAnsi="宋体" w:cs="宋体"/>
                <w:sz w:val="24"/>
                <w:lang w:val="en-US" w:eastAsia="zh-CN"/>
              </w:rPr>
              <w:t>得1分，</w:t>
            </w:r>
            <w:r>
              <w:rPr>
                <w:rFonts w:hint="eastAsia" w:hAnsi="宋体" w:cs="宋体"/>
                <w:sz w:val="24"/>
              </w:rPr>
              <w:t>未提供不得分。</w:t>
            </w:r>
          </w:p>
        </w:tc>
        <w:tc>
          <w:tcPr>
            <w:tcW w:w="360" w:type="pct"/>
            <w:noWrap/>
            <w:vAlign w:val="center"/>
          </w:tcPr>
          <w:p>
            <w:pPr>
              <w:pStyle w:val="9"/>
              <w:rPr>
                <w:rFonts w:hint="eastAsia" w:hAnsi="宋体" w:cs="宋体"/>
                <w:sz w:val="24"/>
              </w:rPr>
            </w:pPr>
          </w:p>
        </w:tc>
      </w:tr>
    </w:tbl>
    <w:p>
      <w:pPr>
        <w:pStyle w:val="30"/>
        <w:rPr>
          <w:rFonts w:cs="华文楷体" w:asciiTheme="minorEastAsia" w:hAnsiTheme="minorEastAsia" w:eastAsiaTheme="minorEastAsia"/>
          <w:color w:val="000000" w:themeColor="text1"/>
          <w:sz w:val="24"/>
          <w14:textFill>
            <w14:solidFill>
              <w14:schemeClr w14:val="tx1"/>
            </w14:solidFill>
          </w14:textFill>
        </w:rPr>
      </w:pPr>
    </w:p>
    <w:p>
      <w:pPr>
        <w:pStyle w:val="30"/>
        <w:rPr>
          <w:rFonts w:cs="华文楷体" w:asciiTheme="minorEastAsia" w:hAnsiTheme="minorEastAsia" w:eastAsiaTheme="minorEastAsia"/>
          <w:color w:val="000000" w:themeColor="text1"/>
          <w:sz w:val="24"/>
          <w14:textFill>
            <w14:solidFill>
              <w14:schemeClr w14:val="tx1"/>
            </w14:solidFill>
          </w14:textFill>
        </w:rPr>
      </w:pPr>
    </w:p>
    <w:p>
      <w:pPr>
        <w:pStyle w:val="30"/>
        <w:rPr>
          <w:rFonts w:cs="华文楷体" w:asciiTheme="minorEastAsia" w:hAnsiTheme="minorEastAsia" w:eastAsiaTheme="minorEastAsia"/>
          <w:color w:val="000000" w:themeColor="text1"/>
          <w:sz w:val="24"/>
          <w14:textFill>
            <w14:solidFill>
              <w14:schemeClr w14:val="tx1"/>
            </w14:solidFill>
          </w14:textFill>
        </w:rPr>
      </w:pPr>
    </w:p>
    <w:p>
      <w:pPr>
        <w:pStyle w:val="30"/>
        <w:rPr>
          <w:rFonts w:cs="华文楷体" w:asciiTheme="minorEastAsia" w:hAnsiTheme="minorEastAsia" w:eastAsiaTheme="minorEastAsia"/>
          <w:color w:val="000000" w:themeColor="text1"/>
          <w:sz w:val="24"/>
          <w14:textFill>
            <w14:solidFill>
              <w14:schemeClr w14:val="tx1"/>
            </w14:solidFill>
          </w14:textFill>
        </w:rPr>
      </w:pPr>
    </w:p>
    <w:p>
      <w:pPr>
        <w:pStyle w:val="30"/>
        <w:rPr>
          <w:rFonts w:cs="华文楷体" w:asciiTheme="minorEastAsia" w:hAnsiTheme="minorEastAsia" w:eastAsiaTheme="minorEastAsia"/>
          <w:color w:val="000000" w:themeColor="text1"/>
          <w:sz w:val="24"/>
          <w14:textFill>
            <w14:solidFill>
              <w14:schemeClr w14:val="tx1"/>
            </w14:solidFill>
          </w14:textFill>
        </w:rPr>
      </w:pPr>
    </w:p>
    <w:p>
      <w:pPr>
        <w:pStyle w:val="30"/>
        <w:rPr>
          <w:rFonts w:cs="华文楷体" w:asciiTheme="minorEastAsia" w:hAnsiTheme="minorEastAsia" w:eastAsiaTheme="minorEastAsia"/>
          <w:color w:val="000000" w:themeColor="text1"/>
          <w:sz w:val="24"/>
          <w14:textFill>
            <w14:solidFill>
              <w14:schemeClr w14:val="tx1"/>
            </w14:solidFill>
          </w14:textFill>
        </w:rPr>
      </w:pPr>
    </w:p>
    <w:p>
      <w:pPr>
        <w:pStyle w:val="30"/>
        <w:rPr>
          <w:rFonts w:cs="华文楷体" w:asciiTheme="minorEastAsia" w:hAnsiTheme="minorEastAsia" w:eastAsiaTheme="minorEastAsia"/>
          <w:color w:val="000000" w:themeColor="text1"/>
          <w:sz w:val="24"/>
          <w14:textFill>
            <w14:solidFill>
              <w14:schemeClr w14:val="tx1"/>
            </w14:solidFill>
          </w14:textFill>
        </w:rPr>
      </w:pPr>
    </w:p>
    <w:p>
      <w:pPr>
        <w:rPr>
          <w:rFonts w:ascii="宋体" w:hAnsi="宋体" w:cs="宋体"/>
          <w:b/>
          <w:bCs/>
          <w:color w:val="000000"/>
          <w:sz w:val="32"/>
          <w:szCs w:val="32"/>
        </w:rPr>
      </w:pPr>
    </w:p>
    <w:p>
      <w:pPr>
        <w:rPr>
          <w:rFonts w:ascii="宋体" w:hAnsi="宋体" w:cs="宋体"/>
          <w:b/>
          <w:bCs/>
          <w:color w:val="000000"/>
          <w:sz w:val="32"/>
          <w:szCs w:val="32"/>
        </w:rPr>
      </w:pPr>
    </w:p>
    <w:p>
      <w:pPr>
        <w:rPr>
          <w:rFonts w:ascii="宋体" w:hAnsi="宋体" w:cs="宋体"/>
          <w:b/>
          <w:bCs/>
          <w:color w:val="000000"/>
          <w:sz w:val="32"/>
          <w:szCs w:val="32"/>
        </w:rPr>
      </w:pPr>
    </w:p>
    <w:p>
      <w:pPr>
        <w:pStyle w:val="51"/>
        <w:widowControl/>
        <w:spacing w:line="0" w:lineRule="atLeast"/>
        <w:rPr>
          <w:rFonts w:ascii="宋体" w:hAnsi="宋体" w:cs="宋体"/>
          <w:b/>
          <w:bCs/>
          <w:color w:val="000000"/>
          <w:sz w:val="24"/>
        </w:rPr>
      </w:pPr>
      <w:r>
        <w:rPr>
          <w:rFonts w:hint="eastAsia" w:ascii="宋体" w:hAnsi="宋体" w:cs="宋体"/>
          <w:b/>
          <w:bCs/>
          <w:color w:val="000000"/>
          <w:sz w:val="24"/>
        </w:rPr>
        <w:t>本项目评分细则：</w:t>
      </w:r>
    </w:p>
    <w:tbl>
      <w:tblPr>
        <w:tblStyle w:val="18"/>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45" w:type="pct"/>
            <w:noWrap/>
            <w:vAlign w:val="center"/>
          </w:tcPr>
          <w:p>
            <w:pPr>
              <w:pStyle w:val="9"/>
              <w:jc w:val="center"/>
              <w:rPr>
                <w:rFonts w:hAnsi="宋体" w:cs="宋体"/>
                <w:b/>
                <w:bCs/>
                <w:sz w:val="24"/>
              </w:rPr>
            </w:pPr>
            <w:r>
              <w:rPr>
                <w:rFonts w:hint="eastAsia" w:hAnsi="宋体" w:cs="宋体"/>
                <w:b/>
                <w:bCs/>
                <w:sz w:val="24"/>
              </w:rPr>
              <w:t>项目</w:t>
            </w:r>
          </w:p>
        </w:tc>
        <w:tc>
          <w:tcPr>
            <w:tcW w:w="4554" w:type="pct"/>
            <w:noWrap/>
            <w:vAlign w:val="center"/>
          </w:tcPr>
          <w:p>
            <w:pPr>
              <w:pStyle w:val="9"/>
              <w:jc w:val="center"/>
              <w:rPr>
                <w:rFonts w:hAnsi="宋体" w:cs="宋体"/>
                <w:b/>
                <w:bCs/>
                <w:sz w:val="24"/>
              </w:rPr>
            </w:pPr>
            <w:r>
              <w:rPr>
                <w:rFonts w:hint="eastAsia" w:hAnsi="宋体" w:cs="宋体"/>
                <w:b/>
                <w:bCs/>
                <w:sz w:val="24"/>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jc w:val="center"/>
        </w:trPr>
        <w:tc>
          <w:tcPr>
            <w:tcW w:w="445" w:type="pct"/>
            <w:noWrap/>
            <w:vAlign w:val="center"/>
          </w:tcPr>
          <w:p>
            <w:pPr>
              <w:pStyle w:val="9"/>
              <w:rPr>
                <w:rFonts w:hAnsi="宋体" w:cs="宋体"/>
                <w:sz w:val="24"/>
              </w:rPr>
            </w:pPr>
            <w:r>
              <w:rPr>
                <w:rFonts w:hint="eastAsia" w:hAnsi="宋体" w:cs="宋体"/>
                <w:sz w:val="24"/>
              </w:rPr>
              <w:t>价格分（30分）</w:t>
            </w:r>
          </w:p>
        </w:tc>
        <w:tc>
          <w:tcPr>
            <w:tcW w:w="4554" w:type="pct"/>
            <w:noWrap/>
          </w:tcPr>
          <w:p>
            <w:pPr>
              <w:pStyle w:val="9"/>
              <w:rPr>
                <w:rFonts w:hAnsi="宋体" w:cs="宋体"/>
                <w:sz w:val="24"/>
              </w:rPr>
            </w:pPr>
            <w:r>
              <w:rPr>
                <w:rFonts w:hint="eastAsia" w:hAnsi="宋体" w:cs="宋体"/>
                <w:sz w:val="24"/>
              </w:rPr>
              <w:t>采用低价优先法计算，即满足磋商文件要求且最后报价最低的供应商的价格为磋商基准价，其价格分为满分。其他供应商的价格分统一按照下列公式计算： 磋商报价得分=（磋商基准价/最后磋商报价）×30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45" w:type="pct"/>
            <w:noWrap/>
            <w:vAlign w:val="center"/>
          </w:tcPr>
          <w:p>
            <w:pPr>
              <w:pStyle w:val="9"/>
              <w:rPr>
                <w:rFonts w:hAnsi="宋体" w:cs="宋体"/>
                <w:sz w:val="24"/>
                <w:highlight w:val="none"/>
              </w:rPr>
            </w:pPr>
            <w:r>
              <w:rPr>
                <w:rFonts w:hint="eastAsia" w:hAnsi="宋体" w:cs="宋体"/>
                <w:sz w:val="24"/>
                <w:highlight w:val="none"/>
              </w:rPr>
              <w:t>企业基本情况（</w:t>
            </w:r>
            <w:r>
              <w:rPr>
                <w:rFonts w:hint="eastAsia" w:hAnsi="宋体" w:cs="宋体"/>
                <w:sz w:val="24"/>
                <w:highlight w:val="none"/>
                <w:lang w:val="en-US" w:eastAsia="zh-CN"/>
              </w:rPr>
              <w:t>6</w:t>
            </w:r>
            <w:r>
              <w:rPr>
                <w:rFonts w:hint="eastAsia" w:hAnsi="宋体" w:cs="宋体"/>
                <w:sz w:val="24"/>
                <w:highlight w:val="none"/>
              </w:rPr>
              <w:t>分）</w:t>
            </w:r>
          </w:p>
        </w:tc>
        <w:tc>
          <w:tcPr>
            <w:tcW w:w="4554" w:type="pct"/>
            <w:noWrap/>
            <w:vAlign w:val="center"/>
          </w:tcPr>
          <w:p>
            <w:pPr>
              <w:pStyle w:val="9"/>
              <w:rPr>
                <w:rFonts w:hAnsi="宋体" w:cs="宋体"/>
                <w:sz w:val="24"/>
                <w:highlight w:val="none"/>
              </w:rPr>
            </w:pPr>
            <w:r>
              <w:rPr>
                <w:rFonts w:hint="eastAsia" w:hAnsi="宋体" w:cs="宋体"/>
                <w:sz w:val="24"/>
                <w:highlight w:val="none"/>
              </w:rPr>
              <w:t>1</w:t>
            </w:r>
            <w:r>
              <w:rPr>
                <w:rFonts w:hint="eastAsia" w:hAnsi="宋体" w:cs="宋体"/>
                <w:sz w:val="24"/>
                <w:highlight w:val="none"/>
                <w:lang w:eastAsia="zh-CN"/>
              </w:rPr>
              <w:t>.</w:t>
            </w:r>
            <w:r>
              <w:rPr>
                <w:rFonts w:hint="eastAsia" w:hAnsi="宋体" w:cs="宋体"/>
                <w:sz w:val="24"/>
                <w:highlight w:val="none"/>
              </w:rPr>
              <w:t>具备演播室设计、系统集成领域的ISO14001认证、ISO9001认证、ISO45001认证。有一项满足得</w:t>
            </w:r>
            <w:r>
              <w:rPr>
                <w:rFonts w:hint="eastAsia" w:hAnsi="宋体" w:cs="宋体"/>
                <w:sz w:val="24"/>
                <w:highlight w:val="none"/>
                <w:lang w:val="en-US" w:eastAsia="zh-CN"/>
              </w:rPr>
              <w:t>1</w:t>
            </w:r>
            <w:r>
              <w:rPr>
                <w:rFonts w:hint="eastAsia" w:hAnsi="宋体" w:cs="宋体"/>
                <w:sz w:val="24"/>
                <w:highlight w:val="none"/>
              </w:rPr>
              <w:t>分，本项最高得</w:t>
            </w:r>
            <w:r>
              <w:rPr>
                <w:rFonts w:hint="eastAsia" w:hAnsi="宋体" w:cs="宋体"/>
                <w:sz w:val="24"/>
                <w:highlight w:val="none"/>
                <w:lang w:val="en-US" w:eastAsia="zh-CN"/>
              </w:rPr>
              <w:t>3</w:t>
            </w:r>
            <w:r>
              <w:rPr>
                <w:rFonts w:hint="eastAsia" w:hAnsi="宋体" w:cs="宋体"/>
                <w:sz w:val="24"/>
                <w:highlight w:val="none"/>
              </w:rPr>
              <w:t>分。</w:t>
            </w:r>
          </w:p>
          <w:p>
            <w:pPr>
              <w:pStyle w:val="9"/>
              <w:rPr>
                <w:rFonts w:hAnsi="宋体" w:cs="宋体"/>
                <w:sz w:val="24"/>
                <w:highlight w:val="none"/>
              </w:rPr>
            </w:pPr>
            <w:r>
              <w:rPr>
                <w:rFonts w:hint="eastAsia" w:hAnsi="宋体" w:cs="宋体"/>
                <w:sz w:val="24"/>
                <w:highlight w:val="none"/>
              </w:rPr>
              <w:t>2</w:t>
            </w:r>
            <w:r>
              <w:rPr>
                <w:rFonts w:hint="eastAsia" w:hAnsi="宋体" w:cs="宋体"/>
                <w:sz w:val="24"/>
                <w:highlight w:val="none"/>
                <w:lang w:eastAsia="zh-CN"/>
              </w:rPr>
              <w:t>.</w:t>
            </w:r>
            <w:r>
              <w:rPr>
                <w:rFonts w:hint="eastAsia" w:hAnsi="宋体" w:cs="宋体"/>
                <w:sz w:val="24"/>
                <w:highlight w:val="none"/>
              </w:rPr>
              <w:t>供应商须具有AAA级企业信用等级证书、企业资信等级证书，提供一项得</w:t>
            </w:r>
            <w:r>
              <w:rPr>
                <w:rFonts w:hint="eastAsia" w:hAnsi="宋体" w:cs="宋体"/>
                <w:sz w:val="24"/>
                <w:highlight w:val="none"/>
                <w:lang w:val="en-US" w:eastAsia="zh-CN"/>
              </w:rPr>
              <w:t>1</w:t>
            </w:r>
            <w:r>
              <w:rPr>
                <w:rFonts w:hint="eastAsia" w:hAnsi="宋体" w:cs="宋体"/>
                <w:sz w:val="24"/>
                <w:highlight w:val="none"/>
              </w:rPr>
              <w:t>分，最高得</w:t>
            </w:r>
            <w:r>
              <w:rPr>
                <w:rFonts w:hint="eastAsia" w:hAnsi="宋体" w:cs="宋体"/>
                <w:sz w:val="24"/>
                <w:highlight w:val="none"/>
                <w:lang w:val="en-US" w:eastAsia="zh-CN"/>
              </w:rPr>
              <w:t>2</w:t>
            </w:r>
            <w:r>
              <w:rPr>
                <w:rFonts w:hint="eastAsia" w:hAnsi="宋体" w:cs="宋体"/>
                <w:sz w:val="24"/>
                <w:highlight w:val="none"/>
              </w:rPr>
              <w:t>分。</w:t>
            </w:r>
          </w:p>
          <w:p>
            <w:pPr>
              <w:pStyle w:val="9"/>
              <w:rPr>
                <w:rFonts w:hAnsi="宋体" w:cs="宋体"/>
                <w:sz w:val="24"/>
                <w:highlight w:val="none"/>
              </w:rPr>
            </w:pPr>
            <w:r>
              <w:rPr>
                <w:rFonts w:hint="eastAsia" w:hAnsi="宋体" w:cs="宋体"/>
                <w:sz w:val="24"/>
                <w:highlight w:val="none"/>
                <w:lang w:val="en-US" w:eastAsia="zh-CN"/>
              </w:rPr>
              <w:t>3</w:t>
            </w:r>
            <w:r>
              <w:rPr>
                <w:rFonts w:hint="eastAsia" w:hAnsi="宋体" w:cs="宋体"/>
                <w:sz w:val="24"/>
                <w:highlight w:val="none"/>
                <w:lang w:eastAsia="zh-CN"/>
              </w:rPr>
              <w:t>.</w:t>
            </w:r>
            <w:r>
              <w:rPr>
                <w:rFonts w:hint="eastAsia" w:hAnsi="宋体" w:cs="宋体"/>
                <w:sz w:val="24"/>
                <w:highlight w:val="none"/>
              </w:rPr>
              <w:t>投标人具有电子与智能化工程专业承包资质或建筑装修装饰工程专业承包资质二级或以上资质得</w:t>
            </w:r>
            <w:r>
              <w:rPr>
                <w:rFonts w:hint="eastAsia" w:hAnsi="宋体" w:cs="宋体"/>
                <w:sz w:val="24"/>
                <w:highlight w:val="none"/>
                <w:lang w:val="en-US" w:eastAsia="zh-CN"/>
              </w:rPr>
              <w:t>1</w:t>
            </w:r>
            <w:r>
              <w:rPr>
                <w:rFonts w:hint="eastAsia" w:hAnsi="宋体" w:cs="宋体"/>
                <w:sz w:val="24"/>
                <w:highlight w:val="none"/>
              </w:rPr>
              <w:t>分。</w:t>
            </w:r>
          </w:p>
          <w:p>
            <w:pPr>
              <w:pStyle w:val="9"/>
              <w:rPr>
                <w:rFonts w:hAnsi="宋体" w:cs="宋体"/>
                <w:sz w:val="24"/>
                <w:highlight w:val="none"/>
              </w:rPr>
            </w:pPr>
            <w:r>
              <w:rPr>
                <w:rFonts w:hint="eastAsia" w:hAnsi="宋体" w:cs="宋体"/>
                <w:sz w:val="24"/>
                <w:highlight w:val="none"/>
              </w:rPr>
              <w:t>注：以上证书需提供证书复印件加盖供应商公章。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45" w:type="pct"/>
            <w:noWrap/>
            <w:vAlign w:val="center"/>
          </w:tcPr>
          <w:p>
            <w:pPr>
              <w:pStyle w:val="9"/>
              <w:rPr>
                <w:rFonts w:hAnsi="宋体" w:cs="宋体"/>
                <w:sz w:val="24"/>
              </w:rPr>
            </w:pPr>
            <w:r>
              <w:rPr>
                <w:rFonts w:hint="eastAsia" w:hAnsi="宋体" w:cs="宋体"/>
                <w:sz w:val="24"/>
              </w:rPr>
              <w:t>类似案例</w:t>
            </w:r>
          </w:p>
          <w:p>
            <w:pPr>
              <w:pStyle w:val="9"/>
              <w:rPr>
                <w:rFonts w:hAnsi="宋体" w:cs="宋体"/>
                <w:sz w:val="24"/>
              </w:rPr>
            </w:pPr>
            <w:r>
              <w:rPr>
                <w:rFonts w:hint="eastAsia" w:hAnsi="宋体" w:cs="宋体"/>
                <w:sz w:val="24"/>
              </w:rPr>
              <w:t>（</w:t>
            </w:r>
            <w:r>
              <w:rPr>
                <w:rFonts w:hint="eastAsia" w:hAnsi="宋体" w:cs="宋体"/>
                <w:sz w:val="24"/>
                <w:lang w:val="en-US" w:eastAsia="zh-CN"/>
              </w:rPr>
              <w:t>5</w:t>
            </w:r>
            <w:r>
              <w:rPr>
                <w:rFonts w:hint="eastAsia" w:hAnsi="宋体" w:cs="宋体"/>
                <w:sz w:val="24"/>
              </w:rPr>
              <w:t>分）</w:t>
            </w:r>
          </w:p>
        </w:tc>
        <w:tc>
          <w:tcPr>
            <w:tcW w:w="4554" w:type="pct"/>
            <w:noWrap/>
            <w:vAlign w:val="center"/>
          </w:tcPr>
          <w:p>
            <w:pPr>
              <w:pStyle w:val="9"/>
              <w:rPr>
                <w:rFonts w:hAnsi="宋体" w:cs="宋体"/>
                <w:sz w:val="24"/>
              </w:rPr>
            </w:pPr>
            <w:r>
              <w:rPr>
                <w:rFonts w:hint="eastAsia" w:hAnsi="宋体" w:cs="宋体"/>
                <w:sz w:val="24"/>
              </w:rPr>
              <w:t>投标人提供2020年</w:t>
            </w:r>
            <w:r>
              <w:rPr>
                <w:rFonts w:hint="eastAsia" w:hAnsi="宋体" w:cs="宋体"/>
                <w:sz w:val="24"/>
                <w:lang w:val="en-US" w:eastAsia="zh-CN"/>
              </w:rPr>
              <w:t>1月1日</w:t>
            </w:r>
            <w:r>
              <w:rPr>
                <w:rFonts w:hint="eastAsia" w:hAnsi="宋体" w:cs="宋体"/>
                <w:sz w:val="24"/>
              </w:rPr>
              <w:t>以来签署的虚拟演播室类似项目合同；每提供一份得</w:t>
            </w:r>
            <w:r>
              <w:rPr>
                <w:rFonts w:hint="eastAsia" w:hAnsi="宋体" w:cs="宋体"/>
                <w:sz w:val="24"/>
                <w:lang w:val="en-US" w:eastAsia="zh-CN"/>
              </w:rPr>
              <w:t>1</w:t>
            </w:r>
            <w:r>
              <w:rPr>
                <w:rFonts w:hint="eastAsia" w:hAnsi="宋体" w:cs="宋体"/>
                <w:sz w:val="24"/>
              </w:rPr>
              <w:t>分，满分</w:t>
            </w:r>
            <w:r>
              <w:rPr>
                <w:rFonts w:hint="eastAsia" w:hAnsi="宋体" w:cs="宋体"/>
                <w:sz w:val="24"/>
                <w:lang w:val="en-US" w:eastAsia="zh-CN"/>
              </w:rPr>
              <w:t>5</w:t>
            </w:r>
            <w:r>
              <w:rPr>
                <w:rFonts w:hint="eastAsia" w:hAnsi="宋体" w:cs="宋体"/>
                <w:sz w:val="24"/>
              </w:rPr>
              <w:t>分。须提供合同原件</w:t>
            </w:r>
            <w:r>
              <w:rPr>
                <w:rFonts w:hint="eastAsia" w:hAnsi="宋体" w:cs="宋体"/>
                <w:sz w:val="24"/>
                <w:lang w:val="en-US" w:eastAsia="zh-CN"/>
              </w:rPr>
              <w:t>备查</w:t>
            </w:r>
            <w:r>
              <w:rPr>
                <w:rFonts w:hint="eastAsia"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45" w:type="pct"/>
            <w:noWrap/>
            <w:vAlign w:val="center"/>
          </w:tcPr>
          <w:p>
            <w:pPr>
              <w:pStyle w:val="9"/>
              <w:rPr>
                <w:rFonts w:ascii="宋体" w:hAnsi="宋体" w:eastAsia="宋体" w:cs="宋体"/>
                <w:kern w:val="2"/>
                <w:sz w:val="24"/>
                <w:szCs w:val="21"/>
                <w:lang w:val="en-US" w:eastAsia="zh-CN" w:bidi="ar-SA"/>
              </w:rPr>
            </w:pPr>
            <w:r>
              <w:rPr>
                <w:rFonts w:hint="eastAsia" w:hAnsi="宋体" w:cs="宋体"/>
                <w:sz w:val="24"/>
              </w:rPr>
              <w:t>技术方案(5分)</w:t>
            </w:r>
          </w:p>
        </w:tc>
        <w:tc>
          <w:tcPr>
            <w:tcW w:w="4554" w:type="pct"/>
            <w:noWrap/>
            <w:vAlign w:val="center"/>
          </w:tcPr>
          <w:p>
            <w:pPr>
              <w:pStyle w:val="9"/>
              <w:rPr>
                <w:rFonts w:hAnsi="宋体" w:cs="宋体"/>
                <w:sz w:val="24"/>
              </w:rPr>
            </w:pPr>
            <w:r>
              <w:rPr>
                <w:rFonts w:hint="eastAsia" w:hAnsi="宋体" w:cs="宋体"/>
                <w:sz w:val="24"/>
              </w:rPr>
              <w:t>技术方案：投标人需在投标时对虚拟演播室进行初步设计，提供项目施工方案，明确施工计划、提供效果图（包括且不限于各功能区效果图、俯视图、景区图、镜头图等）、完整的施工图、施工一览表等。投标人依据对项目理解，设计技术方案，对系统整体架构、设备与设备间连接方式、设备与应用系统间对接方案及软硬件接口、应用系统与应用系统之间的逻辑关系及接软件接口，以及各个系统实现的功能等有详细描述。</w:t>
            </w:r>
          </w:p>
          <w:p>
            <w:pPr>
              <w:pStyle w:val="9"/>
              <w:rPr>
                <w:rFonts w:ascii="宋体" w:hAnsi="宋体" w:eastAsia="宋体" w:cs="宋体"/>
                <w:kern w:val="2"/>
                <w:sz w:val="24"/>
                <w:szCs w:val="21"/>
                <w:lang w:val="en-US" w:eastAsia="zh-CN" w:bidi="ar-SA"/>
              </w:rPr>
            </w:pPr>
            <w:r>
              <w:rPr>
                <w:rFonts w:hint="eastAsia" w:hAnsi="宋体" w:cs="宋体"/>
                <w:sz w:val="24"/>
              </w:rPr>
              <w:t>依据投标人提交的投标方案和现场述标情况进行综合评定。完善且贴近采购人需求的得5分，较完整、较科学、较合理，得3 分；基本合理、描述一般得1 分；具有明显不合理项、描述欠缺、存在实施难度或不提供不得分。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445" w:type="pct"/>
            <w:noWrap/>
            <w:vAlign w:val="center"/>
          </w:tcPr>
          <w:p>
            <w:pPr>
              <w:widowControl/>
              <w:jc w:val="center"/>
              <w:rPr>
                <w:rFonts w:ascii="宋体" w:hAnsi="宋体" w:cs="宋体"/>
                <w:color w:val="000000"/>
                <w:sz w:val="24"/>
              </w:rPr>
            </w:pPr>
            <w:r>
              <w:rPr>
                <w:rFonts w:hint="eastAsia" w:ascii="宋体" w:hAnsi="宋体" w:cs="宋体"/>
                <w:color w:val="000000"/>
                <w:sz w:val="24"/>
              </w:rPr>
              <w:t>技术参数及功能响应</w:t>
            </w:r>
          </w:p>
          <w:p>
            <w:pPr>
              <w:widowControl/>
              <w:jc w:val="center"/>
              <w:rPr>
                <w:rFonts w:ascii="宋体" w:hAnsi="宋体" w:eastAsia="宋体" w:cs="楷体"/>
                <w:kern w:val="0"/>
                <w:sz w:val="24"/>
                <w:szCs w:val="24"/>
                <w:lang w:val="en-US" w:eastAsia="zh-CN" w:bidi="ar-SA"/>
              </w:rPr>
            </w:pPr>
            <w:r>
              <w:rPr>
                <w:rFonts w:hint="eastAsia" w:ascii="宋体" w:hAnsi="宋体" w:cs="宋体"/>
                <w:color w:val="000000"/>
                <w:sz w:val="24"/>
              </w:rPr>
              <w:t>（</w:t>
            </w:r>
            <w:r>
              <w:rPr>
                <w:rFonts w:hint="eastAsia" w:ascii="宋体" w:hAnsi="宋体" w:cs="宋体"/>
                <w:color w:val="000000"/>
                <w:sz w:val="24"/>
                <w:lang w:val="en-US" w:eastAsia="zh-CN"/>
              </w:rPr>
              <w:t>24</w:t>
            </w:r>
            <w:r>
              <w:rPr>
                <w:rFonts w:hint="eastAsia" w:ascii="宋体" w:hAnsi="宋体" w:cs="宋体"/>
                <w:color w:val="000000"/>
                <w:sz w:val="24"/>
              </w:rPr>
              <w:t>分）</w:t>
            </w:r>
          </w:p>
        </w:tc>
        <w:tc>
          <w:tcPr>
            <w:tcW w:w="4554" w:type="pct"/>
            <w:noWrap/>
            <w:vAlign w:val="center"/>
          </w:tcPr>
          <w:p>
            <w:pPr>
              <w:widowControl/>
              <w:rPr>
                <w:rFonts w:ascii="宋体" w:hAnsi="宋体" w:eastAsia="宋体" w:cs="楷体"/>
                <w:kern w:val="0"/>
                <w:sz w:val="24"/>
                <w:szCs w:val="24"/>
                <w:lang w:val="en-US" w:eastAsia="zh-CN" w:bidi="ar-SA"/>
              </w:rPr>
            </w:pPr>
            <w:r>
              <w:rPr>
                <w:rFonts w:hint="eastAsia" w:ascii="宋体" w:hAnsi="宋体" w:cs="楷体"/>
                <w:color w:val="000000"/>
                <w:sz w:val="24"/>
              </w:rPr>
              <w:t>投标产品技术参数全部符合磋商文件技术要求的得</w:t>
            </w:r>
            <w:r>
              <w:rPr>
                <w:rFonts w:hint="eastAsia" w:ascii="宋体" w:hAnsi="宋体" w:cs="楷体"/>
                <w:color w:val="000000"/>
                <w:sz w:val="24"/>
                <w:lang w:val="en-US" w:eastAsia="zh-CN"/>
              </w:rPr>
              <w:t>20</w:t>
            </w:r>
            <w:r>
              <w:rPr>
                <w:rFonts w:hint="eastAsia" w:ascii="宋体" w:hAnsi="宋体" w:cs="楷体"/>
                <w:color w:val="000000"/>
                <w:sz w:val="24"/>
              </w:rPr>
              <w:t>分。每负偏离一项扣2分，扣完为止；有一项评委组认可的正偏离加1分。本项最高得</w:t>
            </w:r>
            <w:r>
              <w:rPr>
                <w:rFonts w:hint="eastAsia" w:ascii="宋体" w:hAnsi="宋体" w:cs="楷体"/>
                <w:color w:val="000000"/>
                <w:sz w:val="24"/>
                <w:lang w:val="en-US" w:eastAsia="zh-CN"/>
              </w:rPr>
              <w:t>24</w:t>
            </w:r>
            <w:r>
              <w:rPr>
                <w:rFonts w:hint="eastAsia" w:ascii="宋体" w:hAnsi="宋体" w:cs="楷体"/>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45" w:type="pct"/>
            <w:noWrap/>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品牌选型</w:t>
            </w:r>
          </w:p>
          <w:p>
            <w:pPr>
              <w:widowControl/>
              <w:jc w:val="center"/>
              <w:rPr>
                <w:rFonts w:ascii="宋体" w:hAnsi="宋体" w:eastAsia="宋体" w:cs="宋体"/>
                <w:color w:val="000000"/>
                <w:kern w:val="2"/>
                <w:sz w:val="24"/>
                <w:szCs w:val="24"/>
                <w:lang w:val="en-US" w:eastAsia="zh-CN" w:bidi="ar-SA"/>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tc>
        <w:tc>
          <w:tcPr>
            <w:tcW w:w="4554" w:type="pct"/>
            <w:noWrap/>
            <w:vAlign w:val="center"/>
          </w:tcPr>
          <w:p>
            <w:pPr>
              <w:widowControl/>
              <w:rPr>
                <w:rFonts w:ascii="宋体" w:hAnsi="宋体" w:eastAsia="宋体" w:cs="楷体"/>
                <w:color w:val="000000"/>
                <w:kern w:val="2"/>
                <w:sz w:val="24"/>
                <w:szCs w:val="24"/>
                <w:lang w:val="en-US" w:eastAsia="zh-CN" w:bidi="ar-SA"/>
              </w:rPr>
            </w:pPr>
            <w:r>
              <w:rPr>
                <w:rFonts w:hint="eastAsia" w:cs="宋体" w:asciiTheme="minorEastAsia" w:hAnsiTheme="minorEastAsia" w:eastAsiaTheme="minorEastAsia"/>
                <w:kern w:val="0"/>
                <w:sz w:val="24"/>
              </w:rPr>
              <w:t>综合考察投标人所投设备的品牌选型及样品的实际情况进行打分。优等</w:t>
            </w:r>
            <w:r>
              <w:rPr>
                <w:rFonts w:hint="eastAsia" w:cs="宋体" w:asciiTheme="minorEastAsia" w:hAnsiTheme="minorEastAsia"/>
                <w:kern w:val="0"/>
                <w:sz w:val="24"/>
                <w:lang w:val="en-US" w:eastAsia="zh-CN"/>
              </w:rPr>
              <w:t>9-10</w:t>
            </w:r>
            <w:r>
              <w:rPr>
                <w:rFonts w:hint="eastAsia" w:cs="宋体" w:asciiTheme="minorEastAsia" w:hAnsiTheme="minorEastAsia" w:eastAsiaTheme="minorEastAsia"/>
                <w:kern w:val="0"/>
                <w:sz w:val="24"/>
              </w:rPr>
              <w:t>分；良等的</w:t>
            </w:r>
            <w:r>
              <w:rPr>
                <w:rFonts w:hint="eastAsia" w:cs="宋体" w:asciiTheme="minorEastAsia" w:hAnsiTheme="minorEastAsia"/>
                <w:kern w:val="0"/>
                <w:sz w:val="24"/>
                <w:lang w:val="en-US" w:eastAsia="zh-CN"/>
              </w:rPr>
              <w:t>7</w:t>
            </w:r>
            <w:r>
              <w:rPr>
                <w:rFonts w:hint="eastAsia" w:cs="宋体" w:asciiTheme="minorEastAsia" w:hAnsiTheme="minorEastAsia" w:eastAsiaTheme="minorEastAsia"/>
                <w:kern w:val="0"/>
                <w:sz w:val="24"/>
              </w:rPr>
              <w:t>-</w:t>
            </w:r>
            <w:r>
              <w:rPr>
                <w:rFonts w:hint="eastAsia" w:cs="宋体" w:asciiTheme="minorEastAsia" w:hAnsiTheme="minorEastAsia"/>
                <w:kern w:val="0"/>
                <w:sz w:val="24"/>
                <w:lang w:val="en-US" w:eastAsia="zh-CN"/>
              </w:rPr>
              <w:t>8</w:t>
            </w:r>
            <w:r>
              <w:rPr>
                <w:rFonts w:hint="eastAsia" w:cs="宋体" w:asciiTheme="minorEastAsia" w:hAnsiTheme="minorEastAsia" w:eastAsiaTheme="minorEastAsia"/>
                <w:kern w:val="0"/>
                <w:sz w:val="24"/>
              </w:rPr>
              <w:t>分，一般的</w:t>
            </w:r>
            <w:r>
              <w:rPr>
                <w:rFonts w:hint="eastAsia" w:cs="宋体" w:asciiTheme="minorEastAsia" w:hAnsiTheme="minorEastAsia"/>
                <w:kern w:val="0"/>
                <w:sz w:val="24"/>
                <w:lang w:val="en-US" w:eastAsia="zh-CN"/>
              </w:rPr>
              <w:t>6</w:t>
            </w:r>
            <w:r>
              <w:rPr>
                <w:rFonts w:hint="eastAsia" w:cs="宋体" w:asciiTheme="minorEastAsia" w:hAnsiTheme="minorEastAsia" w:eastAsiaTheme="minorEastAsia"/>
                <w:kern w:val="0"/>
                <w:sz w:val="24"/>
              </w:rPr>
              <w:t>分，其他的</w:t>
            </w:r>
            <w:r>
              <w:rPr>
                <w:rFonts w:hint="eastAsia" w:cs="宋体" w:asciiTheme="minorEastAsia" w:hAnsiTheme="minorEastAsia"/>
                <w:kern w:val="0"/>
                <w:sz w:val="24"/>
                <w:lang w:val="en-US" w:eastAsia="zh-CN"/>
              </w:rPr>
              <w:t>6</w:t>
            </w:r>
            <w:r>
              <w:rPr>
                <w:rFonts w:hint="eastAsia" w:cs="宋体" w:asciiTheme="minorEastAsia" w:hAnsiTheme="minorEastAsia" w:eastAsiaTheme="minorEastAsia"/>
                <w:kern w:val="0"/>
                <w:sz w:val="24"/>
              </w:rPr>
              <w:t>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45" w:type="pct"/>
            <w:noWrap/>
            <w:vAlign w:val="center"/>
          </w:tcPr>
          <w:p>
            <w:pPr>
              <w:pStyle w:val="9"/>
              <w:rPr>
                <w:rFonts w:hAnsi="宋体" w:cs="宋体"/>
                <w:sz w:val="24"/>
              </w:rPr>
            </w:pPr>
            <w:r>
              <w:rPr>
                <w:rFonts w:hint="eastAsia" w:hAnsi="宋体" w:cs="宋体"/>
                <w:sz w:val="24"/>
              </w:rPr>
              <w:t>组织实施方案(</w:t>
            </w:r>
            <w:r>
              <w:rPr>
                <w:rFonts w:hint="eastAsia" w:hAnsi="宋体" w:cs="宋体"/>
                <w:sz w:val="24"/>
                <w:lang w:val="en-US" w:eastAsia="zh-CN"/>
              </w:rPr>
              <w:t>15</w:t>
            </w:r>
            <w:r>
              <w:rPr>
                <w:rFonts w:hint="eastAsia" w:hAnsi="宋体" w:cs="宋体"/>
                <w:sz w:val="24"/>
              </w:rPr>
              <w:t>分)</w:t>
            </w:r>
          </w:p>
        </w:tc>
        <w:tc>
          <w:tcPr>
            <w:tcW w:w="4554" w:type="pct"/>
            <w:noWrap/>
            <w:vAlign w:val="center"/>
          </w:tcPr>
          <w:p>
            <w:pPr>
              <w:pStyle w:val="9"/>
              <w:rPr>
                <w:rFonts w:hAnsi="宋体" w:cs="宋体"/>
                <w:sz w:val="24"/>
              </w:rPr>
            </w:pPr>
            <w:r>
              <w:rPr>
                <w:rFonts w:hint="eastAsia" w:hAnsi="宋体" w:cs="宋体"/>
                <w:sz w:val="24"/>
              </w:rPr>
              <w:t xml:space="preserve">施工组织设计应具备的基本项目和编排顺序如下： </w:t>
            </w:r>
          </w:p>
          <w:p>
            <w:pPr>
              <w:pStyle w:val="9"/>
              <w:rPr>
                <w:rFonts w:hAnsi="宋体" w:cs="宋体"/>
                <w:sz w:val="24"/>
              </w:rPr>
            </w:pPr>
            <w:r>
              <w:rPr>
                <w:rFonts w:hint="eastAsia" w:hAnsi="宋体" w:cs="宋体"/>
                <w:sz w:val="24"/>
                <w:lang w:val="en-US" w:eastAsia="zh-CN"/>
              </w:rPr>
              <w:t>1.</w:t>
            </w:r>
            <w:r>
              <w:rPr>
                <w:rFonts w:hint="eastAsia" w:hAnsi="宋体" w:cs="宋体"/>
                <w:sz w:val="24"/>
              </w:rPr>
              <w:t xml:space="preserve">施工总体部署 （3 分）： </w:t>
            </w:r>
          </w:p>
          <w:p>
            <w:pPr>
              <w:pStyle w:val="9"/>
              <w:rPr>
                <w:rFonts w:hAnsi="宋体" w:cs="宋体"/>
                <w:sz w:val="24"/>
              </w:rPr>
            </w:pPr>
            <w:r>
              <w:rPr>
                <w:rFonts w:hint="eastAsia" w:hAnsi="宋体" w:cs="宋体"/>
                <w:sz w:val="24"/>
              </w:rPr>
              <w:t xml:space="preserve">工作内容思路清晰、路线正确，切合项目实际，合理可行，得 3 分；较合理、严密、描述较为详细，得 2 分；基本合理、描述一般得 1 分；具有明显不合理 项、描述欠缺、存在实施难度或不提供不得分。 </w:t>
            </w:r>
          </w:p>
          <w:p>
            <w:pPr>
              <w:pStyle w:val="9"/>
              <w:rPr>
                <w:rFonts w:hAnsi="宋体" w:cs="宋体"/>
                <w:sz w:val="24"/>
              </w:rPr>
            </w:pPr>
            <w:r>
              <w:rPr>
                <w:rFonts w:hint="eastAsia" w:hAnsi="宋体" w:cs="宋体"/>
                <w:sz w:val="24"/>
                <w:lang w:val="en-US" w:eastAsia="zh-CN"/>
              </w:rPr>
              <w:t>2.</w:t>
            </w:r>
            <w:r>
              <w:rPr>
                <w:rFonts w:hint="eastAsia" w:hAnsi="宋体" w:cs="宋体"/>
                <w:sz w:val="24"/>
              </w:rPr>
              <w:t xml:space="preserve">主要分部、分项施工工艺和方法（3 分）： </w:t>
            </w:r>
          </w:p>
          <w:p>
            <w:pPr>
              <w:pStyle w:val="9"/>
              <w:rPr>
                <w:rFonts w:hAnsi="宋体" w:cs="宋体"/>
                <w:sz w:val="24"/>
              </w:rPr>
            </w:pPr>
            <w:r>
              <w:rPr>
                <w:rFonts w:hint="eastAsia" w:hAnsi="宋体" w:cs="宋体"/>
                <w:sz w:val="24"/>
              </w:rPr>
              <w:t xml:space="preserve">工艺和方法，科学严谨可行的得 3 分；较合理、严密、描述较为详细，得 2 分；基本合理、描述一般得 1 分；具有明显不合理项、描述欠缺、存在实施难度或 不提供不得分。 </w:t>
            </w:r>
          </w:p>
          <w:p>
            <w:pPr>
              <w:pStyle w:val="9"/>
              <w:rPr>
                <w:rFonts w:hAnsi="宋体" w:cs="宋体"/>
                <w:sz w:val="24"/>
              </w:rPr>
            </w:pPr>
            <w:r>
              <w:rPr>
                <w:rFonts w:hint="eastAsia" w:hAnsi="宋体" w:cs="宋体"/>
                <w:sz w:val="24"/>
                <w:lang w:val="en-US" w:eastAsia="zh-CN"/>
              </w:rPr>
              <w:t>3.</w:t>
            </w:r>
            <w:r>
              <w:rPr>
                <w:rFonts w:hint="eastAsia" w:hAnsi="宋体" w:cs="宋体"/>
                <w:sz w:val="24"/>
              </w:rPr>
              <w:t xml:space="preserve">针对本工程特点采用的特殊措施（3 分）： </w:t>
            </w:r>
          </w:p>
          <w:p>
            <w:pPr>
              <w:pStyle w:val="9"/>
              <w:rPr>
                <w:rFonts w:hAnsi="宋体" w:cs="宋体"/>
                <w:sz w:val="24"/>
              </w:rPr>
            </w:pPr>
            <w:r>
              <w:rPr>
                <w:rFonts w:hint="eastAsia" w:hAnsi="宋体" w:cs="宋体"/>
                <w:sz w:val="24"/>
              </w:rPr>
              <w:t xml:space="preserve">措施合理、可行，得 3 分；较完整、较科学、较合理，得 2 分；基本合理、描述一般得 1 分；具有明显不合理项、描述欠缺、存在实施难度或不提供不得分。 </w:t>
            </w:r>
          </w:p>
          <w:p>
            <w:pPr>
              <w:pStyle w:val="9"/>
              <w:rPr>
                <w:rFonts w:hAnsi="宋体" w:cs="宋体"/>
                <w:sz w:val="24"/>
              </w:rPr>
            </w:pPr>
            <w:r>
              <w:rPr>
                <w:rFonts w:hint="eastAsia" w:hAnsi="宋体" w:cs="宋体"/>
                <w:sz w:val="24"/>
                <w:lang w:val="en-US" w:eastAsia="zh-CN"/>
              </w:rPr>
              <w:t>4.</w:t>
            </w:r>
            <w:r>
              <w:rPr>
                <w:rFonts w:hint="eastAsia" w:hAnsi="宋体" w:cs="宋体"/>
                <w:sz w:val="24"/>
              </w:rPr>
              <w:t xml:space="preserve">工期保证措施（3分）： </w:t>
            </w:r>
          </w:p>
          <w:p>
            <w:pPr>
              <w:pStyle w:val="9"/>
              <w:rPr>
                <w:rFonts w:hAnsi="宋体" w:cs="宋体"/>
                <w:sz w:val="24"/>
              </w:rPr>
            </w:pPr>
            <w:r>
              <w:rPr>
                <w:rFonts w:hint="eastAsia" w:hAnsi="宋体" w:cs="宋体"/>
                <w:sz w:val="24"/>
              </w:rPr>
              <w:t xml:space="preserve">严格执行工期要求，制定严谨的施工计划表，工期安排合理、人员组织高效，职责分工明确，得3 分；较完整、较科学、较合理，得 2分；不完整且科学性、合理性及可行性欠缺，得 1 分；未提供的不得分。  </w:t>
            </w:r>
          </w:p>
          <w:p>
            <w:pPr>
              <w:pStyle w:val="9"/>
              <w:rPr>
                <w:rFonts w:hAnsi="宋体" w:cs="宋体"/>
                <w:sz w:val="24"/>
              </w:rPr>
            </w:pPr>
            <w:r>
              <w:rPr>
                <w:rFonts w:hint="eastAsia" w:hAnsi="宋体" w:cs="宋体"/>
                <w:sz w:val="24"/>
                <w:lang w:val="en-US" w:eastAsia="zh-CN"/>
              </w:rPr>
              <w:t>5.</w:t>
            </w:r>
            <w:r>
              <w:rPr>
                <w:rFonts w:hint="eastAsia" w:hAnsi="宋体" w:cs="宋体"/>
                <w:sz w:val="24"/>
              </w:rPr>
              <w:t xml:space="preserve">安全生产和文明施工措施（3分）： </w:t>
            </w:r>
          </w:p>
          <w:p>
            <w:pPr>
              <w:pStyle w:val="9"/>
              <w:rPr>
                <w:rFonts w:hAnsi="宋体" w:cs="宋体"/>
                <w:sz w:val="24"/>
              </w:rPr>
            </w:pPr>
            <w:r>
              <w:rPr>
                <w:rFonts w:hint="eastAsia" w:hAnsi="宋体" w:cs="宋体"/>
                <w:sz w:val="24"/>
              </w:rPr>
              <w:t>措施合理、可行，得 3 分；较完整、较科学、较合理，得 2 分；基本合理、描述一般得 1 分；具有明显不合理项、描述欠缺、存在实施难度或不提供不得分。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45" w:type="pct"/>
            <w:noWrap/>
            <w:vAlign w:val="center"/>
          </w:tcPr>
          <w:p>
            <w:pPr>
              <w:pStyle w:val="9"/>
              <w:rPr>
                <w:rFonts w:hint="eastAsia" w:ascii="宋体" w:hAnsi="宋体" w:eastAsia="宋体" w:cs="宋体"/>
                <w:kern w:val="2"/>
                <w:sz w:val="24"/>
                <w:szCs w:val="21"/>
                <w:lang w:val="en-US" w:eastAsia="zh-CN" w:bidi="ar-SA"/>
              </w:rPr>
            </w:pPr>
            <w:r>
              <w:rPr>
                <w:rFonts w:hint="eastAsia" w:hAnsi="宋体" w:cs="宋体"/>
                <w:sz w:val="24"/>
              </w:rPr>
              <w:t>服务承诺书（</w:t>
            </w:r>
            <w:r>
              <w:rPr>
                <w:rFonts w:hint="eastAsia" w:hAnsi="宋体" w:cs="宋体"/>
                <w:sz w:val="24"/>
                <w:lang w:val="en-US" w:eastAsia="zh-CN"/>
              </w:rPr>
              <w:t>5</w:t>
            </w:r>
            <w:r>
              <w:rPr>
                <w:rFonts w:hint="eastAsia" w:hAnsi="宋体" w:cs="宋体"/>
                <w:sz w:val="24"/>
              </w:rPr>
              <w:t>分）</w:t>
            </w:r>
          </w:p>
        </w:tc>
        <w:tc>
          <w:tcPr>
            <w:tcW w:w="4554" w:type="pct"/>
            <w:noWrap/>
            <w:vAlign w:val="center"/>
          </w:tcPr>
          <w:p>
            <w:pPr>
              <w:pStyle w:val="9"/>
              <w:rPr>
                <w:rFonts w:hAnsi="宋体" w:cs="宋体"/>
                <w:sz w:val="24"/>
              </w:rPr>
            </w:pPr>
            <w:r>
              <w:rPr>
                <w:rFonts w:hint="eastAsia" w:hAnsi="宋体" w:cs="宋体"/>
                <w:sz w:val="24"/>
              </w:rPr>
              <w:t>1</w:t>
            </w:r>
            <w:r>
              <w:rPr>
                <w:rFonts w:hint="eastAsia" w:hAnsi="宋体" w:cs="宋体"/>
                <w:sz w:val="24"/>
                <w:lang w:eastAsia="zh-CN"/>
              </w:rPr>
              <w:t>.</w:t>
            </w:r>
            <w:r>
              <w:rPr>
                <w:rFonts w:hint="eastAsia" w:hAnsi="宋体" w:cs="宋体"/>
                <w:sz w:val="24"/>
              </w:rPr>
              <w:t>提供详细且切实可行的售后服务计划和保证措施，包括服务响应时间、服务承诺、备用品的供应保障等得标准分。</w:t>
            </w:r>
            <w:r>
              <w:rPr>
                <w:rFonts w:hint="eastAsia" w:hAnsi="宋体" w:cs="宋体"/>
                <w:sz w:val="24"/>
                <w:lang w:val="en-US" w:eastAsia="zh-CN"/>
              </w:rPr>
              <w:t>提供</w:t>
            </w:r>
            <w:r>
              <w:rPr>
                <w:rFonts w:hint="eastAsia" w:ascii="宋体" w:hAnsi="宋体"/>
                <w:b w:val="0"/>
                <w:bCs w:val="0"/>
                <w:sz w:val="24"/>
                <w:highlight w:val="none"/>
              </w:rPr>
              <w:t>售后服务</w:t>
            </w:r>
            <w:r>
              <w:rPr>
                <w:rFonts w:hint="eastAsia" w:ascii="宋体" w:hAnsi="宋体"/>
                <w:b w:val="0"/>
                <w:bCs w:val="0"/>
                <w:sz w:val="24"/>
                <w:highlight w:val="none"/>
                <w:lang w:val="en-US" w:eastAsia="zh-CN"/>
              </w:rPr>
              <w:t>承诺书</w:t>
            </w:r>
            <w:r>
              <w:rPr>
                <w:rFonts w:hint="eastAsia" w:hAnsi="宋体" w:cs="宋体"/>
                <w:sz w:val="24"/>
              </w:rPr>
              <w:t>并加盖公章</w:t>
            </w:r>
            <w:r>
              <w:rPr>
                <w:rFonts w:hint="eastAsia" w:hAnsi="宋体" w:cs="宋体"/>
                <w:sz w:val="24"/>
                <w:lang w:val="en-US" w:eastAsia="zh-CN"/>
              </w:rPr>
              <w:t>得2分，</w:t>
            </w:r>
            <w:r>
              <w:rPr>
                <w:rFonts w:hint="eastAsia" w:hAnsi="宋体" w:cs="宋体"/>
                <w:sz w:val="24"/>
              </w:rPr>
              <w:t>未提供不得分。</w:t>
            </w:r>
          </w:p>
          <w:p>
            <w:pPr>
              <w:pStyle w:val="9"/>
              <w:rPr>
                <w:rFonts w:hAnsi="宋体" w:cs="宋体"/>
                <w:sz w:val="24"/>
              </w:rPr>
            </w:pPr>
            <w:r>
              <w:rPr>
                <w:rFonts w:hint="eastAsia" w:hAnsi="宋体" w:cs="宋体"/>
                <w:sz w:val="24"/>
              </w:rPr>
              <w:t>2</w:t>
            </w:r>
            <w:r>
              <w:rPr>
                <w:rFonts w:hint="eastAsia" w:hAnsi="宋体" w:cs="宋体"/>
                <w:sz w:val="24"/>
                <w:lang w:eastAsia="zh-CN"/>
              </w:rPr>
              <w:t>.</w:t>
            </w:r>
            <w:r>
              <w:rPr>
                <w:rFonts w:hint="eastAsia" w:hAnsi="宋体" w:cs="宋体"/>
                <w:sz w:val="24"/>
              </w:rPr>
              <w:t>为保证售后服务的响应速度，要求中标人在免费服务期内安排1名工程师专人负责采购人的售后技术支撑，保证工程师24小时通讯畅通，并能够1小时内到现场提供技术保障服务。提供质保和服务承诺书并加盖公章得1分</w:t>
            </w:r>
            <w:r>
              <w:rPr>
                <w:rFonts w:hint="eastAsia" w:hAnsi="宋体" w:cs="宋体"/>
                <w:sz w:val="24"/>
                <w:lang w:eastAsia="zh-CN"/>
              </w:rPr>
              <w:t>，</w:t>
            </w:r>
            <w:r>
              <w:rPr>
                <w:rFonts w:hint="eastAsia" w:hAnsi="宋体" w:cs="宋体"/>
                <w:sz w:val="24"/>
              </w:rPr>
              <w:t>未提供不得分。</w:t>
            </w:r>
          </w:p>
          <w:p>
            <w:pPr>
              <w:pStyle w:val="9"/>
              <w:rPr>
                <w:rFonts w:hint="eastAsia" w:hAnsi="宋体" w:cs="宋体"/>
                <w:sz w:val="24"/>
              </w:rPr>
            </w:pPr>
            <w:r>
              <w:rPr>
                <w:rFonts w:hint="eastAsia" w:hAnsi="宋体" w:cs="宋体"/>
                <w:sz w:val="24"/>
              </w:rPr>
              <w:t>3</w:t>
            </w:r>
            <w:r>
              <w:rPr>
                <w:rFonts w:hint="eastAsia" w:hAnsi="宋体" w:cs="宋体"/>
                <w:sz w:val="24"/>
                <w:lang w:eastAsia="zh-CN"/>
              </w:rPr>
              <w:t>.</w:t>
            </w:r>
            <w:r>
              <w:rPr>
                <w:rFonts w:hint="eastAsia" w:hAnsi="宋体" w:cs="宋体"/>
                <w:sz w:val="24"/>
              </w:rPr>
              <w:t>中标人提供三年内重大活动现场技术保障，提供</w:t>
            </w:r>
            <w:r>
              <w:rPr>
                <w:rFonts w:hint="eastAsia" w:hAnsi="宋体" w:cs="宋体"/>
                <w:sz w:val="24"/>
                <w:lang w:val="en-US" w:eastAsia="zh-CN"/>
              </w:rPr>
              <w:t>承诺书</w:t>
            </w:r>
            <w:r>
              <w:rPr>
                <w:rFonts w:hint="eastAsia" w:hAnsi="宋体" w:cs="宋体"/>
                <w:sz w:val="24"/>
              </w:rPr>
              <w:t>并加盖公章得1分</w:t>
            </w:r>
            <w:r>
              <w:rPr>
                <w:rFonts w:hint="eastAsia" w:hAnsi="宋体" w:cs="宋体"/>
                <w:sz w:val="24"/>
                <w:lang w:eastAsia="zh-CN"/>
              </w:rPr>
              <w:t>，</w:t>
            </w:r>
            <w:r>
              <w:rPr>
                <w:rFonts w:hint="eastAsia" w:hAnsi="宋体" w:cs="宋体"/>
                <w:sz w:val="24"/>
              </w:rPr>
              <w:t>未提供不得分。</w:t>
            </w:r>
          </w:p>
          <w:p>
            <w:pPr>
              <w:pStyle w:val="9"/>
              <w:rPr>
                <w:rFonts w:hint="eastAsia" w:ascii="宋体" w:hAnsi="宋体" w:eastAsia="宋体" w:cs="宋体"/>
                <w:kern w:val="2"/>
                <w:sz w:val="24"/>
                <w:szCs w:val="21"/>
                <w:lang w:val="en-US" w:eastAsia="zh-CN" w:bidi="ar-SA"/>
              </w:rPr>
            </w:pPr>
            <w:r>
              <w:rPr>
                <w:rFonts w:hint="eastAsia" w:hAnsi="宋体" w:cs="宋体"/>
                <w:sz w:val="24"/>
              </w:rPr>
              <w:t>投标人承诺针对虚拟演播室中的各类型设备，在部署调试安装完成后，免费向用户方演播室管理人员提供现场技术培训，提供2次以上现场技术培训的得标准分，少于2次或未承诺的不得分。</w:t>
            </w:r>
            <w:r>
              <w:rPr>
                <w:rFonts w:hint="eastAsia" w:hAnsi="宋体" w:cs="宋体"/>
                <w:sz w:val="24"/>
                <w:lang w:val="en-US" w:eastAsia="zh-CN"/>
              </w:rPr>
              <w:t>提供培训承诺书</w:t>
            </w:r>
            <w:r>
              <w:rPr>
                <w:rFonts w:hint="eastAsia" w:hAnsi="宋体" w:cs="宋体"/>
                <w:sz w:val="24"/>
              </w:rPr>
              <w:t>并加盖公章</w:t>
            </w:r>
            <w:r>
              <w:rPr>
                <w:rFonts w:hint="eastAsia" w:hAnsi="宋体" w:cs="宋体"/>
                <w:sz w:val="24"/>
                <w:lang w:val="en-US" w:eastAsia="zh-CN"/>
              </w:rPr>
              <w:t>得1分，</w:t>
            </w:r>
            <w:r>
              <w:rPr>
                <w:rFonts w:hint="eastAsia" w:hAnsi="宋体" w:cs="宋体"/>
                <w:sz w:val="24"/>
              </w:rPr>
              <w:t>未提供不得分。</w:t>
            </w:r>
          </w:p>
        </w:tc>
      </w:tr>
    </w:tbl>
    <w:p>
      <w:pPr>
        <w:pStyle w:val="9"/>
        <w:rPr>
          <w:rFonts w:hAnsi="宋体" w:cs="宋体"/>
          <w:sz w:val="24"/>
          <w:highlight w:val="yellow"/>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30</w:t>
    </w:r>
    <w:r>
      <w:fldChar w:fldCharType="end"/>
    </w:r>
  </w:p>
  <w:p>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8"/>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6D6133"/>
    <w:multiLevelType w:val="multilevel"/>
    <w:tmpl w:val="656D6133"/>
    <w:lvl w:ilvl="0" w:tentative="0">
      <w:start w:val="1"/>
      <w:numFmt w:val="chineseCountingThousand"/>
      <w:pStyle w:val="31"/>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6"/>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677253"/>
    <w:rsid w:val="00000F46"/>
    <w:rsid w:val="00001165"/>
    <w:rsid w:val="0000296C"/>
    <w:rsid w:val="000044EB"/>
    <w:rsid w:val="00012671"/>
    <w:rsid w:val="000249D1"/>
    <w:rsid w:val="000365D0"/>
    <w:rsid w:val="00040922"/>
    <w:rsid w:val="00051E51"/>
    <w:rsid w:val="000532D5"/>
    <w:rsid w:val="00054493"/>
    <w:rsid w:val="000548B7"/>
    <w:rsid w:val="0005727A"/>
    <w:rsid w:val="00061137"/>
    <w:rsid w:val="000714A9"/>
    <w:rsid w:val="00072B3D"/>
    <w:rsid w:val="0007516D"/>
    <w:rsid w:val="00076272"/>
    <w:rsid w:val="0007712F"/>
    <w:rsid w:val="0008103D"/>
    <w:rsid w:val="00081F94"/>
    <w:rsid w:val="00082075"/>
    <w:rsid w:val="000870A5"/>
    <w:rsid w:val="00090FA0"/>
    <w:rsid w:val="00091675"/>
    <w:rsid w:val="000938DF"/>
    <w:rsid w:val="00093C69"/>
    <w:rsid w:val="00095E35"/>
    <w:rsid w:val="000A1B52"/>
    <w:rsid w:val="000B028E"/>
    <w:rsid w:val="000B0354"/>
    <w:rsid w:val="000B2A23"/>
    <w:rsid w:val="000B46B6"/>
    <w:rsid w:val="000B5627"/>
    <w:rsid w:val="000B612A"/>
    <w:rsid w:val="000C4B47"/>
    <w:rsid w:val="000C509E"/>
    <w:rsid w:val="000C5C14"/>
    <w:rsid w:val="000C7202"/>
    <w:rsid w:val="000D0F53"/>
    <w:rsid w:val="000E1282"/>
    <w:rsid w:val="000E189D"/>
    <w:rsid w:val="000E1ED3"/>
    <w:rsid w:val="000E3D67"/>
    <w:rsid w:val="000F42D4"/>
    <w:rsid w:val="000F4AEE"/>
    <w:rsid w:val="001013C7"/>
    <w:rsid w:val="00113FC5"/>
    <w:rsid w:val="001204C9"/>
    <w:rsid w:val="00120740"/>
    <w:rsid w:val="00121E34"/>
    <w:rsid w:val="00124D6A"/>
    <w:rsid w:val="00131EED"/>
    <w:rsid w:val="00132DF1"/>
    <w:rsid w:val="00136ECC"/>
    <w:rsid w:val="00143BAC"/>
    <w:rsid w:val="0014532C"/>
    <w:rsid w:val="00151F57"/>
    <w:rsid w:val="00151FE3"/>
    <w:rsid w:val="001523D1"/>
    <w:rsid w:val="00152AF7"/>
    <w:rsid w:val="00153546"/>
    <w:rsid w:val="0015538A"/>
    <w:rsid w:val="00157D41"/>
    <w:rsid w:val="00161281"/>
    <w:rsid w:val="00162658"/>
    <w:rsid w:val="00162F0C"/>
    <w:rsid w:val="001669DC"/>
    <w:rsid w:val="00167689"/>
    <w:rsid w:val="00176948"/>
    <w:rsid w:val="001805D4"/>
    <w:rsid w:val="001915B6"/>
    <w:rsid w:val="001945DD"/>
    <w:rsid w:val="001A1588"/>
    <w:rsid w:val="001B0E4F"/>
    <w:rsid w:val="001B542D"/>
    <w:rsid w:val="001B66EB"/>
    <w:rsid w:val="001B7DE0"/>
    <w:rsid w:val="001B7E4F"/>
    <w:rsid w:val="001C010C"/>
    <w:rsid w:val="001C2FDD"/>
    <w:rsid w:val="001D1544"/>
    <w:rsid w:val="001D74AA"/>
    <w:rsid w:val="001E56B9"/>
    <w:rsid w:val="001E7F01"/>
    <w:rsid w:val="001F482C"/>
    <w:rsid w:val="001F5240"/>
    <w:rsid w:val="001F6CB1"/>
    <w:rsid w:val="001F7BB3"/>
    <w:rsid w:val="00200108"/>
    <w:rsid w:val="002005EF"/>
    <w:rsid w:val="00200EAB"/>
    <w:rsid w:val="00205CEA"/>
    <w:rsid w:val="00210A91"/>
    <w:rsid w:val="00212832"/>
    <w:rsid w:val="00213F1F"/>
    <w:rsid w:val="00215195"/>
    <w:rsid w:val="002155D0"/>
    <w:rsid w:val="0021584F"/>
    <w:rsid w:val="00216475"/>
    <w:rsid w:val="00216C0E"/>
    <w:rsid w:val="00220FE2"/>
    <w:rsid w:val="0022114C"/>
    <w:rsid w:val="00223BF0"/>
    <w:rsid w:val="002247BB"/>
    <w:rsid w:val="0022497D"/>
    <w:rsid w:val="00225612"/>
    <w:rsid w:val="00225FFB"/>
    <w:rsid w:val="0023437D"/>
    <w:rsid w:val="002359F9"/>
    <w:rsid w:val="00240CC0"/>
    <w:rsid w:val="00241F5B"/>
    <w:rsid w:val="00247348"/>
    <w:rsid w:val="002517D7"/>
    <w:rsid w:val="00255210"/>
    <w:rsid w:val="00257537"/>
    <w:rsid w:val="00264F2E"/>
    <w:rsid w:val="00267B4C"/>
    <w:rsid w:val="002712BA"/>
    <w:rsid w:val="00272EAF"/>
    <w:rsid w:val="0027442F"/>
    <w:rsid w:val="0027677F"/>
    <w:rsid w:val="00277103"/>
    <w:rsid w:val="00287686"/>
    <w:rsid w:val="00290BA5"/>
    <w:rsid w:val="00294021"/>
    <w:rsid w:val="002A02F8"/>
    <w:rsid w:val="002A4D83"/>
    <w:rsid w:val="002A6850"/>
    <w:rsid w:val="002A7FA0"/>
    <w:rsid w:val="002C4EED"/>
    <w:rsid w:val="002D0FE7"/>
    <w:rsid w:val="002D18F7"/>
    <w:rsid w:val="002D18F9"/>
    <w:rsid w:val="002D4BDA"/>
    <w:rsid w:val="002D4E43"/>
    <w:rsid w:val="002D4F55"/>
    <w:rsid w:val="002E2E09"/>
    <w:rsid w:val="002E345A"/>
    <w:rsid w:val="002E3E0A"/>
    <w:rsid w:val="002E5361"/>
    <w:rsid w:val="002E74AD"/>
    <w:rsid w:val="002F27D3"/>
    <w:rsid w:val="002F3FA0"/>
    <w:rsid w:val="002F45F4"/>
    <w:rsid w:val="003019B2"/>
    <w:rsid w:val="00303A19"/>
    <w:rsid w:val="00310E99"/>
    <w:rsid w:val="003133D5"/>
    <w:rsid w:val="00314AE5"/>
    <w:rsid w:val="00314EF2"/>
    <w:rsid w:val="00317022"/>
    <w:rsid w:val="00317D46"/>
    <w:rsid w:val="00321872"/>
    <w:rsid w:val="00322B5A"/>
    <w:rsid w:val="00322BE9"/>
    <w:rsid w:val="00331AEA"/>
    <w:rsid w:val="00333570"/>
    <w:rsid w:val="00334BA9"/>
    <w:rsid w:val="00335D98"/>
    <w:rsid w:val="003379C1"/>
    <w:rsid w:val="00342672"/>
    <w:rsid w:val="003442B7"/>
    <w:rsid w:val="003461F4"/>
    <w:rsid w:val="00356653"/>
    <w:rsid w:val="003568C1"/>
    <w:rsid w:val="0036415A"/>
    <w:rsid w:val="003724E4"/>
    <w:rsid w:val="00375D4D"/>
    <w:rsid w:val="00376C6E"/>
    <w:rsid w:val="00386D7F"/>
    <w:rsid w:val="00390090"/>
    <w:rsid w:val="0039062B"/>
    <w:rsid w:val="00390A82"/>
    <w:rsid w:val="00394DB0"/>
    <w:rsid w:val="003A283A"/>
    <w:rsid w:val="003C0443"/>
    <w:rsid w:val="003C04DF"/>
    <w:rsid w:val="003C351D"/>
    <w:rsid w:val="003C7DC7"/>
    <w:rsid w:val="003D160A"/>
    <w:rsid w:val="003D61FA"/>
    <w:rsid w:val="003D7C44"/>
    <w:rsid w:val="003E476A"/>
    <w:rsid w:val="003E6540"/>
    <w:rsid w:val="003F13FD"/>
    <w:rsid w:val="003F462F"/>
    <w:rsid w:val="003F4B5F"/>
    <w:rsid w:val="004002A7"/>
    <w:rsid w:val="0040195A"/>
    <w:rsid w:val="004022C0"/>
    <w:rsid w:val="00402946"/>
    <w:rsid w:val="00402DB7"/>
    <w:rsid w:val="00403FD3"/>
    <w:rsid w:val="004064D4"/>
    <w:rsid w:val="00406AB2"/>
    <w:rsid w:val="004106A6"/>
    <w:rsid w:val="004156E2"/>
    <w:rsid w:val="00416531"/>
    <w:rsid w:val="004168FC"/>
    <w:rsid w:val="00425EB8"/>
    <w:rsid w:val="004332DF"/>
    <w:rsid w:val="004344AC"/>
    <w:rsid w:val="00434C4C"/>
    <w:rsid w:val="00434E30"/>
    <w:rsid w:val="00442C3E"/>
    <w:rsid w:val="00444E23"/>
    <w:rsid w:val="00450E2C"/>
    <w:rsid w:val="00456D07"/>
    <w:rsid w:val="004572C1"/>
    <w:rsid w:val="00461EE9"/>
    <w:rsid w:val="004648EC"/>
    <w:rsid w:val="00467767"/>
    <w:rsid w:val="004702A0"/>
    <w:rsid w:val="004751B8"/>
    <w:rsid w:val="004834E0"/>
    <w:rsid w:val="00491C12"/>
    <w:rsid w:val="00496680"/>
    <w:rsid w:val="00496BC3"/>
    <w:rsid w:val="004A1940"/>
    <w:rsid w:val="004B0D1E"/>
    <w:rsid w:val="004B6171"/>
    <w:rsid w:val="004C43FD"/>
    <w:rsid w:val="004C6481"/>
    <w:rsid w:val="004D476B"/>
    <w:rsid w:val="004D4B85"/>
    <w:rsid w:val="004E2681"/>
    <w:rsid w:val="004E2F45"/>
    <w:rsid w:val="004E3241"/>
    <w:rsid w:val="004E38D8"/>
    <w:rsid w:val="004F17A3"/>
    <w:rsid w:val="004F54C9"/>
    <w:rsid w:val="004F59DC"/>
    <w:rsid w:val="004F761C"/>
    <w:rsid w:val="004F7EC1"/>
    <w:rsid w:val="00503C8C"/>
    <w:rsid w:val="00506CF6"/>
    <w:rsid w:val="00511DE2"/>
    <w:rsid w:val="005125DE"/>
    <w:rsid w:val="005134AD"/>
    <w:rsid w:val="00514489"/>
    <w:rsid w:val="00515675"/>
    <w:rsid w:val="0052163A"/>
    <w:rsid w:val="00523CC2"/>
    <w:rsid w:val="00524882"/>
    <w:rsid w:val="00526A36"/>
    <w:rsid w:val="00527FDD"/>
    <w:rsid w:val="00533763"/>
    <w:rsid w:val="0053698D"/>
    <w:rsid w:val="00540DB4"/>
    <w:rsid w:val="005411E7"/>
    <w:rsid w:val="00545C50"/>
    <w:rsid w:val="005462E4"/>
    <w:rsid w:val="0054706B"/>
    <w:rsid w:val="005509AB"/>
    <w:rsid w:val="00551974"/>
    <w:rsid w:val="005520D9"/>
    <w:rsid w:val="00553D73"/>
    <w:rsid w:val="00562BD8"/>
    <w:rsid w:val="00563113"/>
    <w:rsid w:val="0056352A"/>
    <w:rsid w:val="00565D28"/>
    <w:rsid w:val="005660C3"/>
    <w:rsid w:val="00575D68"/>
    <w:rsid w:val="0058636B"/>
    <w:rsid w:val="0058751D"/>
    <w:rsid w:val="00591290"/>
    <w:rsid w:val="0059409E"/>
    <w:rsid w:val="005960FD"/>
    <w:rsid w:val="005A0C39"/>
    <w:rsid w:val="005A50EE"/>
    <w:rsid w:val="005A6C3F"/>
    <w:rsid w:val="005A79D1"/>
    <w:rsid w:val="005B1476"/>
    <w:rsid w:val="005B1BFE"/>
    <w:rsid w:val="005B3816"/>
    <w:rsid w:val="005B4B68"/>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2AD0"/>
    <w:rsid w:val="00603792"/>
    <w:rsid w:val="00605BAA"/>
    <w:rsid w:val="0061067A"/>
    <w:rsid w:val="00612484"/>
    <w:rsid w:val="00612567"/>
    <w:rsid w:val="00616A3D"/>
    <w:rsid w:val="00623427"/>
    <w:rsid w:val="006275FB"/>
    <w:rsid w:val="00633B34"/>
    <w:rsid w:val="0063507D"/>
    <w:rsid w:val="00635CC3"/>
    <w:rsid w:val="0063760A"/>
    <w:rsid w:val="00637C44"/>
    <w:rsid w:val="00651ADF"/>
    <w:rsid w:val="006567C0"/>
    <w:rsid w:val="00664017"/>
    <w:rsid w:val="00664DBA"/>
    <w:rsid w:val="0066617B"/>
    <w:rsid w:val="00666B4D"/>
    <w:rsid w:val="00667697"/>
    <w:rsid w:val="00671CC3"/>
    <w:rsid w:val="0067342E"/>
    <w:rsid w:val="0067480C"/>
    <w:rsid w:val="006767D3"/>
    <w:rsid w:val="00677253"/>
    <w:rsid w:val="00680C81"/>
    <w:rsid w:val="00682A6E"/>
    <w:rsid w:val="00687101"/>
    <w:rsid w:val="00691E55"/>
    <w:rsid w:val="00694EE3"/>
    <w:rsid w:val="00695073"/>
    <w:rsid w:val="006954D9"/>
    <w:rsid w:val="0069748A"/>
    <w:rsid w:val="00697BF6"/>
    <w:rsid w:val="006A3F80"/>
    <w:rsid w:val="006A6518"/>
    <w:rsid w:val="006B073F"/>
    <w:rsid w:val="006B2C69"/>
    <w:rsid w:val="006B76C4"/>
    <w:rsid w:val="006C21C0"/>
    <w:rsid w:val="006C265B"/>
    <w:rsid w:val="006C36F6"/>
    <w:rsid w:val="006C5C45"/>
    <w:rsid w:val="006D0494"/>
    <w:rsid w:val="006D2E6B"/>
    <w:rsid w:val="006D5B53"/>
    <w:rsid w:val="006D6402"/>
    <w:rsid w:val="006D67A1"/>
    <w:rsid w:val="006E1FED"/>
    <w:rsid w:val="006E6BA9"/>
    <w:rsid w:val="006F2F2E"/>
    <w:rsid w:val="006F3BFC"/>
    <w:rsid w:val="00704828"/>
    <w:rsid w:val="00707159"/>
    <w:rsid w:val="007110B2"/>
    <w:rsid w:val="0071278A"/>
    <w:rsid w:val="0071378F"/>
    <w:rsid w:val="00716385"/>
    <w:rsid w:val="00721713"/>
    <w:rsid w:val="007220C0"/>
    <w:rsid w:val="007229E8"/>
    <w:rsid w:val="00723444"/>
    <w:rsid w:val="007238BF"/>
    <w:rsid w:val="00725D3B"/>
    <w:rsid w:val="00726604"/>
    <w:rsid w:val="007277A1"/>
    <w:rsid w:val="00731397"/>
    <w:rsid w:val="007352D6"/>
    <w:rsid w:val="007408E3"/>
    <w:rsid w:val="0074110A"/>
    <w:rsid w:val="00741D1A"/>
    <w:rsid w:val="00745AED"/>
    <w:rsid w:val="00753C2D"/>
    <w:rsid w:val="007601C7"/>
    <w:rsid w:val="00762729"/>
    <w:rsid w:val="0076688D"/>
    <w:rsid w:val="0076725C"/>
    <w:rsid w:val="00770B3F"/>
    <w:rsid w:val="007740EA"/>
    <w:rsid w:val="00790EF8"/>
    <w:rsid w:val="00792C70"/>
    <w:rsid w:val="00792DFF"/>
    <w:rsid w:val="00794020"/>
    <w:rsid w:val="007954B2"/>
    <w:rsid w:val="00795FFF"/>
    <w:rsid w:val="007A1233"/>
    <w:rsid w:val="007A639B"/>
    <w:rsid w:val="007B09B1"/>
    <w:rsid w:val="007B7A54"/>
    <w:rsid w:val="007C19EB"/>
    <w:rsid w:val="007C445E"/>
    <w:rsid w:val="007D0BD4"/>
    <w:rsid w:val="007D0DC7"/>
    <w:rsid w:val="007D4C07"/>
    <w:rsid w:val="007D748D"/>
    <w:rsid w:val="007D7D46"/>
    <w:rsid w:val="007E08CC"/>
    <w:rsid w:val="007F7F46"/>
    <w:rsid w:val="00802E7E"/>
    <w:rsid w:val="008034DC"/>
    <w:rsid w:val="00806298"/>
    <w:rsid w:val="00810CF0"/>
    <w:rsid w:val="00814E41"/>
    <w:rsid w:val="0081554B"/>
    <w:rsid w:val="00817E79"/>
    <w:rsid w:val="00825796"/>
    <w:rsid w:val="008322AF"/>
    <w:rsid w:val="00832429"/>
    <w:rsid w:val="00834A1E"/>
    <w:rsid w:val="00835692"/>
    <w:rsid w:val="00843A4B"/>
    <w:rsid w:val="008452C7"/>
    <w:rsid w:val="00845AB0"/>
    <w:rsid w:val="008476B2"/>
    <w:rsid w:val="00850E9A"/>
    <w:rsid w:val="00851000"/>
    <w:rsid w:val="00851864"/>
    <w:rsid w:val="0085766D"/>
    <w:rsid w:val="00864EAC"/>
    <w:rsid w:val="00867712"/>
    <w:rsid w:val="008763CB"/>
    <w:rsid w:val="00876C90"/>
    <w:rsid w:val="008770AC"/>
    <w:rsid w:val="008775E2"/>
    <w:rsid w:val="00881D97"/>
    <w:rsid w:val="00885D56"/>
    <w:rsid w:val="008862E6"/>
    <w:rsid w:val="008919E1"/>
    <w:rsid w:val="00894717"/>
    <w:rsid w:val="008958BB"/>
    <w:rsid w:val="008A27C2"/>
    <w:rsid w:val="008A2A60"/>
    <w:rsid w:val="008A4A5A"/>
    <w:rsid w:val="008A4B74"/>
    <w:rsid w:val="008B1E19"/>
    <w:rsid w:val="008C7E9B"/>
    <w:rsid w:val="008D0C57"/>
    <w:rsid w:val="008D2514"/>
    <w:rsid w:val="008D6A55"/>
    <w:rsid w:val="008F26A5"/>
    <w:rsid w:val="008F6369"/>
    <w:rsid w:val="008F7E1E"/>
    <w:rsid w:val="00915A78"/>
    <w:rsid w:val="00920648"/>
    <w:rsid w:val="009214D3"/>
    <w:rsid w:val="00925597"/>
    <w:rsid w:val="00925BB9"/>
    <w:rsid w:val="00936EF1"/>
    <w:rsid w:val="00937682"/>
    <w:rsid w:val="009379F7"/>
    <w:rsid w:val="00942100"/>
    <w:rsid w:val="009514B0"/>
    <w:rsid w:val="009543B4"/>
    <w:rsid w:val="00954516"/>
    <w:rsid w:val="00954C1C"/>
    <w:rsid w:val="00966E8F"/>
    <w:rsid w:val="00967B2F"/>
    <w:rsid w:val="00967EAC"/>
    <w:rsid w:val="009701DD"/>
    <w:rsid w:val="00970953"/>
    <w:rsid w:val="009712B3"/>
    <w:rsid w:val="00971BBA"/>
    <w:rsid w:val="00972FC6"/>
    <w:rsid w:val="009735D7"/>
    <w:rsid w:val="009769B0"/>
    <w:rsid w:val="00980598"/>
    <w:rsid w:val="009836EB"/>
    <w:rsid w:val="009862CF"/>
    <w:rsid w:val="0098707B"/>
    <w:rsid w:val="00990815"/>
    <w:rsid w:val="009912B9"/>
    <w:rsid w:val="00992D86"/>
    <w:rsid w:val="009955CE"/>
    <w:rsid w:val="00995ABC"/>
    <w:rsid w:val="00997D1F"/>
    <w:rsid w:val="009A0F4E"/>
    <w:rsid w:val="009A52B1"/>
    <w:rsid w:val="009B2DF4"/>
    <w:rsid w:val="009B5A6C"/>
    <w:rsid w:val="009B696C"/>
    <w:rsid w:val="009B75C8"/>
    <w:rsid w:val="009B7E15"/>
    <w:rsid w:val="009C2A27"/>
    <w:rsid w:val="009C4FD2"/>
    <w:rsid w:val="009C5500"/>
    <w:rsid w:val="009D0248"/>
    <w:rsid w:val="009D27FC"/>
    <w:rsid w:val="009D738E"/>
    <w:rsid w:val="009E5CB9"/>
    <w:rsid w:val="009F2EA3"/>
    <w:rsid w:val="00A0127D"/>
    <w:rsid w:val="00A0748D"/>
    <w:rsid w:val="00A07669"/>
    <w:rsid w:val="00A11352"/>
    <w:rsid w:val="00A127F1"/>
    <w:rsid w:val="00A161C0"/>
    <w:rsid w:val="00A16B33"/>
    <w:rsid w:val="00A170F1"/>
    <w:rsid w:val="00A326CA"/>
    <w:rsid w:val="00A33491"/>
    <w:rsid w:val="00A372F5"/>
    <w:rsid w:val="00A40EB3"/>
    <w:rsid w:val="00A432E3"/>
    <w:rsid w:val="00A43E18"/>
    <w:rsid w:val="00A44149"/>
    <w:rsid w:val="00A45DA3"/>
    <w:rsid w:val="00A55074"/>
    <w:rsid w:val="00A55966"/>
    <w:rsid w:val="00A6080C"/>
    <w:rsid w:val="00A66275"/>
    <w:rsid w:val="00A70CBA"/>
    <w:rsid w:val="00A760AD"/>
    <w:rsid w:val="00A81256"/>
    <w:rsid w:val="00A828B7"/>
    <w:rsid w:val="00A87641"/>
    <w:rsid w:val="00A9010C"/>
    <w:rsid w:val="00A94032"/>
    <w:rsid w:val="00A95A77"/>
    <w:rsid w:val="00AA4095"/>
    <w:rsid w:val="00AB222C"/>
    <w:rsid w:val="00AB352D"/>
    <w:rsid w:val="00AB39E4"/>
    <w:rsid w:val="00AB48EC"/>
    <w:rsid w:val="00AB786E"/>
    <w:rsid w:val="00AC6549"/>
    <w:rsid w:val="00AD2BA6"/>
    <w:rsid w:val="00AD3BB8"/>
    <w:rsid w:val="00AE7BBE"/>
    <w:rsid w:val="00AF1609"/>
    <w:rsid w:val="00AF675F"/>
    <w:rsid w:val="00B01C66"/>
    <w:rsid w:val="00B021B3"/>
    <w:rsid w:val="00B05523"/>
    <w:rsid w:val="00B06C0D"/>
    <w:rsid w:val="00B10603"/>
    <w:rsid w:val="00B129D0"/>
    <w:rsid w:val="00B1318B"/>
    <w:rsid w:val="00B22633"/>
    <w:rsid w:val="00B26AD4"/>
    <w:rsid w:val="00B277EE"/>
    <w:rsid w:val="00B32183"/>
    <w:rsid w:val="00B332B2"/>
    <w:rsid w:val="00B40DFB"/>
    <w:rsid w:val="00B414E1"/>
    <w:rsid w:val="00B44A5E"/>
    <w:rsid w:val="00B4691C"/>
    <w:rsid w:val="00B53CC4"/>
    <w:rsid w:val="00B5559D"/>
    <w:rsid w:val="00B64380"/>
    <w:rsid w:val="00B6647D"/>
    <w:rsid w:val="00B6749A"/>
    <w:rsid w:val="00B676A5"/>
    <w:rsid w:val="00B67E9D"/>
    <w:rsid w:val="00B73A67"/>
    <w:rsid w:val="00B7614A"/>
    <w:rsid w:val="00B81E08"/>
    <w:rsid w:val="00B90BE7"/>
    <w:rsid w:val="00B9185D"/>
    <w:rsid w:val="00B93B78"/>
    <w:rsid w:val="00B9625A"/>
    <w:rsid w:val="00B9740D"/>
    <w:rsid w:val="00BA2DEC"/>
    <w:rsid w:val="00BB0044"/>
    <w:rsid w:val="00BB2F70"/>
    <w:rsid w:val="00BC488E"/>
    <w:rsid w:val="00BC7A12"/>
    <w:rsid w:val="00BD1197"/>
    <w:rsid w:val="00BD47CA"/>
    <w:rsid w:val="00BE716D"/>
    <w:rsid w:val="00BF05F9"/>
    <w:rsid w:val="00BF0773"/>
    <w:rsid w:val="00BF2DDE"/>
    <w:rsid w:val="00BF3440"/>
    <w:rsid w:val="00BF3973"/>
    <w:rsid w:val="00BF6589"/>
    <w:rsid w:val="00C105A0"/>
    <w:rsid w:val="00C13D9E"/>
    <w:rsid w:val="00C20B52"/>
    <w:rsid w:val="00C237E9"/>
    <w:rsid w:val="00C23D78"/>
    <w:rsid w:val="00C301E9"/>
    <w:rsid w:val="00C4020C"/>
    <w:rsid w:val="00C40CAA"/>
    <w:rsid w:val="00C55A03"/>
    <w:rsid w:val="00C56366"/>
    <w:rsid w:val="00C56B54"/>
    <w:rsid w:val="00C60806"/>
    <w:rsid w:val="00C63E66"/>
    <w:rsid w:val="00C671BA"/>
    <w:rsid w:val="00C72826"/>
    <w:rsid w:val="00C73918"/>
    <w:rsid w:val="00C73AE3"/>
    <w:rsid w:val="00C73CA5"/>
    <w:rsid w:val="00C77D5D"/>
    <w:rsid w:val="00C86035"/>
    <w:rsid w:val="00C92E40"/>
    <w:rsid w:val="00C94217"/>
    <w:rsid w:val="00CA2DDD"/>
    <w:rsid w:val="00CA423D"/>
    <w:rsid w:val="00CA76F8"/>
    <w:rsid w:val="00CB1382"/>
    <w:rsid w:val="00CB1FC5"/>
    <w:rsid w:val="00CB4486"/>
    <w:rsid w:val="00CC17F7"/>
    <w:rsid w:val="00CC215F"/>
    <w:rsid w:val="00CC256B"/>
    <w:rsid w:val="00CC3C21"/>
    <w:rsid w:val="00CC7209"/>
    <w:rsid w:val="00CC756C"/>
    <w:rsid w:val="00CE594F"/>
    <w:rsid w:val="00CF094D"/>
    <w:rsid w:val="00D03395"/>
    <w:rsid w:val="00D03596"/>
    <w:rsid w:val="00D0438E"/>
    <w:rsid w:val="00D061F5"/>
    <w:rsid w:val="00D133ED"/>
    <w:rsid w:val="00D21539"/>
    <w:rsid w:val="00D2272B"/>
    <w:rsid w:val="00D24352"/>
    <w:rsid w:val="00D33176"/>
    <w:rsid w:val="00D33648"/>
    <w:rsid w:val="00D36E8A"/>
    <w:rsid w:val="00D378D9"/>
    <w:rsid w:val="00D42C6E"/>
    <w:rsid w:val="00D43678"/>
    <w:rsid w:val="00D461DF"/>
    <w:rsid w:val="00D54B95"/>
    <w:rsid w:val="00D55E2F"/>
    <w:rsid w:val="00D5750D"/>
    <w:rsid w:val="00D61714"/>
    <w:rsid w:val="00D624C3"/>
    <w:rsid w:val="00D70316"/>
    <w:rsid w:val="00D7270B"/>
    <w:rsid w:val="00D741B1"/>
    <w:rsid w:val="00D753D5"/>
    <w:rsid w:val="00D75C8F"/>
    <w:rsid w:val="00D84A34"/>
    <w:rsid w:val="00D84F45"/>
    <w:rsid w:val="00D85233"/>
    <w:rsid w:val="00D85C5E"/>
    <w:rsid w:val="00D86BA3"/>
    <w:rsid w:val="00D93B04"/>
    <w:rsid w:val="00DA0B81"/>
    <w:rsid w:val="00DA28F2"/>
    <w:rsid w:val="00DB0BEF"/>
    <w:rsid w:val="00DB3AC7"/>
    <w:rsid w:val="00DB3C3D"/>
    <w:rsid w:val="00DC1BED"/>
    <w:rsid w:val="00DC4141"/>
    <w:rsid w:val="00DC4161"/>
    <w:rsid w:val="00DC4976"/>
    <w:rsid w:val="00DC5942"/>
    <w:rsid w:val="00DD032B"/>
    <w:rsid w:val="00DD6622"/>
    <w:rsid w:val="00DD7A97"/>
    <w:rsid w:val="00DE0162"/>
    <w:rsid w:val="00DE6C76"/>
    <w:rsid w:val="00DF0533"/>
    <w:rsid w:val="00DF1091"/>
    <w:rsid w:val="00DF2723"/>
    <w:rsid w:val="00DF5389"/>
    <w:rsid w:val="00E00D1E"/>
    <w:rsid w:val="00E03197"/>
    <w:rsid w:val="00E034EE"/>
    <w:rsid w:val="00E060E2"/>
    <w:rsid w:val="00E069E8"/>
    <w:rsid w:val="00E12907"/>
    <w:rsid w:val="00E1377D"/>
    <w:rsid w:val="00E144B8"/>
    <w:rsid w:val="00E152FF"/>
    <w:rsid w:val="00E22B4F"/>
    <w:rsid w:val="00E232DC"/>
    <w:rsid w:val="00E24F5B"/>
    <w:rsid w:val="00E3381F"/>
    <w:rsid w:val="00E34907"/>
    <w:rsid w:val="00E3641B"/>
    <w:rsid w:val="00E37BFD"/>
    <w:rsid w:val="00E40571"/>
    <w:rsid w:val="00E410CF"/>
    <w:rsid w:val="00E55116"/>
    <w:rsid w:val="00E552A6"/>
    <w:rsid w:val="00E601F6"/>
    <w:rsid w:val="00E63EA5"/>
    <w:rsid w:val="00E675E1"/>
    <w:rsid w:val="00E676F1"/>
    <w:rsid w:val="00E7210B"/>
    <w:rsid w:val="00E72E1C"/>
    <w:rsid w:val="00E731B3"/>
    <w:rsid w:val="00E81DC1"/>
    <w:rsid w:val="00E8527C"/>
    <w:rsid w:val="00E91076"/>
    <w:rsid w:val="00E94198"/>
    <w:rsid w:val="00E95376"/>
    <w:rsid w:val="00EA38B1"/>
    <w:rsid w:val="00EB666B"/>
    <w:rsid w:val="00EC033A"/>
    <w:rsid w:val="00EC48EF"/>
    <w:rsid w:val="00EC4FBF"/>
    <w:rsid w:val="00EC712C"/>
    <w:rsid w:val="00ED217A"/>
    <w:rsid w:val="00ED4359"/>
    <w:rsid w:val="00EE6703"/>
    <w:rsid w:val="00EF1AE1"/>
    <w:rsid w:val="00EF1C22"/>
    <w:rsid w:val="00EF3DA8"/>
    <w:rsid w:val="00EF5E85"/>
    <w:rsid w:val="00F010D2"/>
    <w:rsid w:val="00F013B8"/>
    <w:rsid w:val="00F0146A"/>
    <w:rsid w:val="00F01F78"/>
    <w:rsid w:val="00F032B8"/>
    <w:rsid w:val="00F039BB"/>
    <w:rsid w:val="00F05C73"/>
    <w:rsid w:val="00F05E7F"/>
    <w:rsid w:val="00F11315"/>
    <w:rsid w:val="00F118C0"/>
    <w:rsid w:val="00F20395"/>
    <w:rsid w:val="00F21864"/>
    <w:rsid w:val="00F22504"/>
    <w:rsid w:val="00F25030"/>
    <w:rsid w:val="00F331ED"/>
    <w:rsid w:val="00F411C2"/>
    <w:rsid w:val="00F4609E"/>
    <w:rsid w:val="00F50BD9"/>
    <w:rsid w:val="00F51C3A"/>
    <w:rsid w:val="00F54126"/>
    <w:rsid w:val="00F563B5"/>
    <w:rsid w:val="00F60965"/>
    <w:rsid w:val="00F60A30"/>
    <w:rsid w:val="00F70FD1"/>
    <w:rsid w:val="00F719EB"/>
    <w:rsid w:val="00F76908"/>
    <w:rsid w:val="00F82734"/>
    <w:rsid w:val="00F83F89"/>
    <w:rsid w:val="00F85C3F"/>
    <w:rsid w:val="00F906E4"/>
    <w:rsid w:val="00F9604D"/>
    <w:rsid w:val="00F974E5"/>
    <w:rsid w:val="00FA0A17"/>
    <w:rsid w:val="00FA1025"/>
    <w:rsid w:val="00FA30FA"/>
    <w:rsid w:val="00FA6657"/>
    <w:rsid w:val="00FA7D64"/>
    <w:rsid w:val="00FB0CAA"/>
    <w:rsid w:val="00FB2546"/>
    <w:rsid w:val="00FB36AF"/>
    <w:rsid w:val="00FB5ECF"/>
    <w:rsid w:val="00FD0DF0"/>
    <w:rsid w:val="00FD3A90"/>
    <w:rsid w:val="00FE0DB6"/>
    <w:rsid w:val="00FE3673"/>
    <w:rsid w:val="00FE53AE"/>
    <w:rsid w:val="00FE5B8C"/>
    <w:rsid w:val="00FF0E56"/>
    <w:rsid w:val="00FF2F48"/>
    <w:rsid w:val="00FF3080"/>
    <w:rsid w:val="00FF51A3"/>
    <w:rsid w:val="00FF52B3"/>
    <w:rsid w:val="01616169"/>
    <w:rsid w:val="01DF624F"/>
    <w:rsid w:val="05022463"/>
    <w:rsid w:val="05714856"/>
    <w:rsid w:val="06222576"/>
    <w:rsid w:val="077F43B3"/>
    <w:rsid w:val="08BC0A60"/>
    <w:rsid w:val="09A3577C"/>
    <w:rsid w:val="0B913634"/>
    <w:rsid w:val="0C104C1F"/>
    <w:rsid w:val="0FB464C2"/>
    <w:rsid w:val="12E94387"/>
    <w:rsid w:val="13443F37"/>
    <w:rsid w:val="13E7095B"/>
    <w:rsid w:val="16026742"/>
    <w:rsid w:val="17D654AF"/>
    <w:rsid w:val="1818419A"/>
    <w:rsid w:val="189069E0"/>
    <w:rsid w:val="195F3480"/>
    <w:rsid w:val="196B55C7"/>
    <w:rsid w:val="19BC7189"/>
    <w:rsid w:val="19EF756C"/>
    <w:rsid w:val="1B3C158C"/>
    <w:rsid w:val="1BEF2DF2"/>
    <w:rsid w:val="1CA64C9C"/>
    <w:rsid w:val="1E991F2C"/>
    <w:rsid w:val="1F077B62"/>
    <w:rsid w:val="1F4122F9"/>
    <w:rsid w:val="1FA46BD3"/>
    <w:rsid w:val="202F79A2"/>
    <w:rsid w:val="21EF135E"/>
    <w:rsid w:val="22891C74"/>
    <w:rsid w:val="22DF0D97"/>
    <w:rsid w:val="291122AA"/>
    <w:rsid w:val="293159F3"/>
    <w:rsid w:val="29920994"/>
    <w:rsid w:val="2E075A2A"/>
    <w:rsid w:val="301132EC"/>
    <w:rsid w:val="305675B0"/>
    <w:rsid w:val="3073521F"/>
    <w:rsid w:val="3191788B"/>
    <w:rsid w:val="31FE6D93"/>
    <w:rsid w:val="331665FC"/>
    <w:rsid w:val="33536F6E"/>
    <w:rsid w:val="34A85964"/>
    <w:rsid w:val="36A24822"/>
    <w:rsid w:val="38064E37"/>
    <w:rsid w:val="39E7040C"/>
    <w:rsid w:val="3ADA76DA"/>
    <w:rsid w:val="3B3C0CE1"/>
    <w:rsid w:val="3B9E560F"/>
    <w:rsid w:val="3D9020E8"/>
    <w:rsid w:val="3DA20817"/>
    <w:rsid w:val="40523A4C"/>
    <w:rsid w:val="40BD17EF"/>
    <w:rsid w:val="420E191A"/>
    <w:rsid w:val="4379535E"/>
    <w:rsid w:val="46A93F5E"/>
    <w:rsid w:val="488A12DA"/>
    <w:rsid w:val="48D87CB6"/>
    <w:rsid w:val="48E93727"/>
    <w:rsid w:val="4AFB557E"/>
    <w:rsid w:val="4B19799F"/>
    <w:rsid w:val="4B636F99"/>
    <w:rsid w:val="4C645F93"/>
    <w:rsid w:val="4CCE3E8B"/>
    <w:rsid w:val="4E867CD5"/>
    <w:rsid w:val="4F2E0B9A"/>
    <w:rsid w:val="52B17225"/>
    <w:rsid w:val="52EC166D"/>
    <w:rsid w:val="53717C06"/>
    <w:rsid w:val="5382777D"/>
    <w:rsid w:val="563433C5"/>
    <w:rsid w:val="59D050BB"/>
    <w:rsid w:val="59F25A39"/>
    <w:rsid w:val="5C597B96"/>
    <w:rsid w:val="5D4D2E3A"/>
    <w:rsid w:val="5D975EA3"/>
    <w:rsid w:val="5DA30B5A"/>
    <w:rsid w:val="5DCA41FA"/>
    <w:rsid w:val="5E124D67"/>
    <w:rsid w:val="61013F3A"/>
    <w:rsid w:val="61BC315C"/>
    <w:rsid w:val="629C0F95"/>
    <w:rsid w:val="65C87292"/>
    <w:rsid w:val="66144017"/>
    <w:rsid w:val="663E522D"/>
    <w:rsid w:val="690A562F"/>
    <w:rsid w:val="6C8B34FC"/>
    <w:rsid w:val="6CDA147C"/>
    <w:rsid w:val="6DBA65F1"/>
    <w:rsid w:val="717F4C96"/>
    <w:rsid w:val="71C97C3F"/>
    <w:rsid w:val="727918F3"/>
    <w:rsid w:val="74E7348C"/>
    <w:rsid w:val="74FA7E4E"/>
    <w:rsid w:val="79154C3B"/>
    <w:rsid w:val="792D615A"/>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3"/>
    <w:semiHidden/>
    <w:unhideWhenUsed/>
    <w:qFormat/>
    <w:uiPriority w:val="99"/>
    <w:pPr>
      <w:spacing w:after="120"/>
    </w:pPr>
  </w:style>
  <w:style w:type="paragraph" w:styleId="7">
    <w:name w:val="Body Text Indent"/>
    <w:basedOn w:val="1"/>
    <w:link w:val="47"/>
    <w:semiHidden/>
    <w:unhideWhenUsed/>
    <w:qFormat/>
    <w:uiPriority w:val="99"/>
    <w:pPr>
      <w:spacing w:after="120"/>
      <w:ind w:left="420" w:leftChars="200"/>
    </w:pPr>
  </w:style>
  <w:style w:type="paragraph" w:styleId="8">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9">
    <w:name w:val="Plain Text"/>
    <w:basedOn w:val="1"/>
    <w:link w:val="55"/>
    <w:qFormat/>
    <w:uiPriority w:val="0"/>
    <w:rPr>
      <w:rFonts w:ascii="宋体"/>
      <w:szCs w:val="21"/>
    </w:rPr>
  </w:style>
  <w:style w:type="paragraph" w:styleId="10">
    <w:name w:val="Date"/>
    <w:basedOn w:val="1"/>
    <w:next w:val="1"/>
    <w:link w:val="46"/>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5"/>
    <w:qFormat/>
    <w:uiPriority w:val="0"/>
    <w:pPr>
      <w:tabs>
        <w:tab w:val="center" w:pos="4153"/>
        <w:tab w:val="right" w:pos="8306"/>
      </w:tabs>
      <w:adjustRightInd w:val="0"/>
      <w:spacing w:line="240" w:lineRule="atLeast"/>
      <w:jc w:val="left"/>
    </w:pPr>
    <w:rPr>
      <w:kern w:val="0"/>
      <w:sz w:val="18"/>
      <w:szCs w:val="20"/>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link w:val="52"/>
    <w:qFormat/>
    <w:uiPriority w:val="10"/>
    <w:pPr>
      <w:jc w:val="center"/>
      <w:outlineLvl w:val="0"/>
    </w:pPr>
    <w:rPr>
      <w:rFonts w:ascii="Arial" w:hAnsi="Arial"/>
      <w:b/>
      <w:sz w:val="32"/>
    </w:rPr>
  </w:style>
  <w:style w:type="paragraph" w:styleId="16">
    <w:name w:val="Body Text First Indent"/>
    <w:basedOn w:val="6"/>
    <w:link w:val="24"/>
    <w:qFormat/>
    <w:uiPriority w:val="0"/>
    <w:pPr>
      <w:ind w:firstLine="420" w:firstLineChars="100"/>
    </w:pPr>
    <w:rPr>
      <w:rFonts w:eastAsia="仿宋_GB2312"/>
      <w:szCs w:val="20"/>
    </w:rPr>
  </w:style>
  <w:style w:type="paragraph" w:styleId="17">
    <w:name w:val="Body Text First Indent 2"/>
    <w:basedOn w:val="7"/>
    <w:link w:val="48"/>
    <w:semiHidden/>
    <w:unhideWhenUsed/>
    <w:qFormat/>
    <w:uiPriority w:val="99"/>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正文文本 Char"/>
    <w:basedOn w:val="20"/>
    <w:link w:val="6"/>
    <w:semiHidden/>
    <w:qFormat/>
    <w:uiPriority w:val="99"/>
    <w:rPr>
      <w:rFonts w:ascii="Times New Roman" w:hAnsi="Times New Roman" w:eastAsia="宋体" w:cs="Times New Roman"/>
      <w:szCs w:val="24"/>
    </w:rPr>
  </w:style>
  <w:style w:type="character" w:customStyle="1" w:styleId="24">
    <w:name w:val="正文首行缩进 Char"/>
    <w:basedOn w:val="23"/>
    <w:link w:val="16"/>
    <w:qFormat/>
    <w:uiPriority w:val="0"/>
    <w:rPr>
      <w:rFonts w:ascii="Times New Roman" w:hAnsi="Times New Roman" w:eastAsia="仿宋_GB2312" w:cs="Times New Roman"/>
      <w:szCs w:val="20"/>
    </w:rPr>
  </w:style>
  <w:style w:type="character" w:customStyle="1" w:styleId="25">
    <w:name w:val="页脚 Char"/>
    <w:basedOn w:val="20"/>
    <w:link w:val="12"/>
    <w:qFormat/>
    <w:uiPriority w:val="0"/>
    <w:rPr>
      <w:rFonts w:ascii="Times New Roman" w:hAnsi="Times New Roman" w:eastAsia="宋体" w:cs="Times New Roman"/>
      <w:kern w:val="0"/>
      <w:sz w:val="18"/>
      <w:szCs w:val="20"/>
    </w:rPr>
  </w:style>
  <w:style w:type="paragraph" w:customStyle="1" w:styleId="26">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7">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8">
    <w:name w:val="样式1"/>
    <w:basedOn w:val="1"/>
    <w:qFormat/>
    <w:uiPriority w:val="0"/>
    <w:pPr>
      <w:numPr>
        <w:ilvl w:val="0"/>
        <w:numId w:val="2"/>
      </w:numPr>
      <w:adjustRightInd w:val="0"/>
    </w:pPr>
    <w:rPr>
      <w:rFonts w:ascii="宋体" w:hAnsi="宋体"/>
      <w:kern w:val="0"/>
      <w:szCs w:val="21"/>
    </w:rPr>
  </w:style>
  <w:style w:type="paragraph" w:customStyle="1" w:styleId="29">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30">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31">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32">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3">
    <w:name w:val="样式 宋体 五号 两端对齐 行距: 单倍行距"/>
    <w:basedOn w:val="1"/>
    <w:qFormat/>
    <w:uiPriority w:val="0"/>
    <w:pPr>
      <w:adjustRightInd w:val="0"/>
    </w:pPr>
    <w:rPr>
      <w:rFonts w:ascii="宋体" w:hAnsi="宋体"/>
      <w:kern w:val="0"/>
      <w:szCs w:val="20"/>
    </w:rPr>
  </w:style>
  <w:style w:type="character" w:customStyle="1" w:styleId="34">
    <w:name w:val="标题 3 Char"/>
    <w:basedOn w:val="20"/>
    <w:link w:val="4"/>
    <w:semiHidden/>
    <w:qFormat/>
    <w:uiPriority w:val="9"/>
    <w:rPr>
      <w:rFonts w:ascii="Times New Roman" w:hAnsi="Times New Roman" w:eastAsia="宋体" w:cs="Times New Roman"/>
      <w:b/>
      <w:bCs/>
      <w:sz w:val="32"/>
      <w:szCs w:val="32"/>
    </w:rPr>
  </w:style>
  <w:style w:type="character" w:customStyle="1" w:styleId="35">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36">
    <w:name w:val="标题 4 Char"/>
    <w:basedOn w:val="20"/>
    <w:link w:val="5"/>
    <w:semiHidden/>
    <w:qFormat/>
    <w:uiPriority w:val="9"/>
    <w:rPr>
      <w:rFonts w:asciiTheme="majorHAnsi" w:hAnsiTheme="majorHAnsi" w:eastAsiaTheme="majorEastAsia" w:cstheme="majorBidi"/>
      <w:b/>
      <w:bCs/>
      <w:sz w:val="28"/>
      <w:szCs w:val="28"/>
    </w:rPr>
  </w:style>
  <w:style w:type="character" w:customStyle="1" w:styleId="37">
    <w:name w:val="标题 1 Char"/>
    <w:basedOn w:val="20"/>
    <w:link w:val="2"/>
    <w:qFormat/>
    <w:uiPriority w:val="9"/>
    <w:rPr>
      <w:rFonts w:ascii="Times New Roman" w:hAnsi="Times New Roman" w:eastAsia="宋体" w:cs="Times New Roman"/>
      <w:b/>
      <w:bCs/>
      <w:kern w:val="44"/>
      <w:sz w:val="44"/>
      <w:szCs w:val="44"/>
    </w:rPr>
  </w:style>
  <w:style w:type="character" w:customStyle="1" w:styleId="38">
    <w:name w:val="批注框文本 Char"/>
    <w:basedOn w:val="20"/>
    <w:link w:val="11"/>
    <w:semiHidden/>
    <w:qFormat/>
    <w:uiPriority w:val="99"/>
    <w:rPr>
      <w:rFonts w:ascii="Times New Roman" w:hAnsi="Times New Roman" w:eastAsia="宋体" w:cs="Times New Roman"/>
      <w:sz w:val="18"/>
      <w:szCs w:val="18"/>
    </w:rPr>
  </w:style>
  <w:style w:type="character" w:customStyle="1" w:styleId="39">
    <w:name w:val="页眉 Char"/>
    <w:basedOn w:val="20"/>
    <w:link w:val="13"/>
    <w:qFormat/>
    <w:uiPriority w:val="99"/>
    <w:rPr>
      <w:rFonts w:ascii="Times New Roman" w:hAnsi="Times New Roman" w:eastAsia="宋体" w:cs="Times New Roman"/>
      <w:sz w:val="18"/>
      <w:szCs w:val="18"/>
    </w:rPr>
  </w:style>
  <w:style w:type="character" w:customStyle="1" w:styleId="40">
    <w:name w:val="font41"/>
    <w:basedOn w:val="20"/>
    <w:qFormat/>
    <w:uiPriority w:val="0"/>
    <w:rPr>
      <w:rFonts w:hint="eastAsia" w:ascii="宋体" w:hAnsi="宋体" w:eastAsia="宋体" w:cs="宋体"/>
      <w:color w:val="000000"/>
      <w:sz w:val="20"/>
      <w:szCs w:val="20"/>
      <w:u w:val="none"/>
    </w:rPr>
  </w:style>
  <w:style w:type="character" w:customStyle="1" w:styleId="41">
    <w:name w:val="font51"/>
    <w:basedOn w:val="20"/>
    <w:qFormat/>
    <w:uiPriority w:val="0"/>
    <w:rPr>
      <w:rFonts w:hint="eastAsia" w:ascii="宋体" w:hAnsi="宋体" w:eastAsia="宋体" w:cs="宋体"/>
      <w:color w:val="000000"/>
      <w:sz w:val="20"/>
      <w:szCs w:val="20"/>
      <w:u w:val="single"/>
    </w:rPr>
  </w:style>
  <w:style w:type="paragraph" w:styleId="42">
    <w:name w:val="List Paragraph"/>
    <w:basedOn w:val="1"/>
    <w:link w:val="45"/>
    <w:qFormat/>
    <w:uiPriority w:val="34"/>
    <w:pPr>
      <w:ind w:firstLine="420" w:firstLineChars="200"/>
    </w:pPr>
  </w:style>
  <w:style w:type="paragraph" w:customStyle="1" w:styleId="4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4">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5">
    <w:name w:val="列出段落 Char"/>
    <w:link w:val="42"/>
    <w:qFormat/>
    <w:uiPriority w:val="0"/>
    <w:rPr>
      <w:kern w:val="2"/>
      <w:sz w:val="21"/>
      <w:szCs w:val="24"/>
    </w:rPr>
  </w:style>
  <w:style w:type="character" w:customStyle="1" w:styleId="46">
    <w:name w:val="日期 Char"/>
    <w:basedOn w:val="20"/>
    <w:link w:val="10"/>
    <w:semiHidden/>
    <w:qFormat/>
    <w:uiPriority w:val="99"/>
    <w:rPr>
      <w:kern w:val="2"/>
      <w:sz w:val="21"/>
      <w:szCs w:val="24"/>
    </w:rPr>
  </w:style>
  <w:style w:type="character" w:customStyle="1" w:styleId="47">
    <w:name w:val="正文文本缩进 Char"/>
    <w:basedOn w:val="20"/>
    <w:link w:val="7"/>
    <w:semiHidden/>
    <w:qFormat/>
    <w:uiPriority w:val="99"/>
    <w:rPr>
      <w:kern w:val="2"/>
      <w:sz w:val="21"/>
      <w:szCs w:val="24"/>
    </w:rPr>
  </w:style>
  <w:style w:type="character" w:customStyle="1" w:styleId="48">
    <w:name w:val="正文首行缩进 2 Char"/>
    <w:basedOn w:val="47"/>
    <w:link w:val="17"/>
    <w:semiHidden/>
    <w:qFormat/>
    <w:uiPriority w:val="99"/>
    <w:rPr>
      <w:kern w:val="2"/>
      <w:sz w:val="21"/>
      <w:szCs w:val="24"/>
    </w:rPr>
  </w:style>
  <w:style w:type="paragraph" w:customStyle="1" w:styleId="49">
    <w:name w:val="_Style 83"/>
    <w:basedOn w:val="6"/>
    <w:next w:val="16"/>
    <w:qFormat/>
    <w:uiPriority w:val="0"/>
    <w:pPr>
      <w:ind w:firstLine="420" w:firstLineChars="100"/>
    </w:pPr>
    <w:rPr>
      <w:rFonts w:eastAsia="仿宋_GB2312"/>
      <w:szCs w:val="20"/>
    </w:rPr>
  </w:style>
  <w:style w:type="character" w:customStyle="1" w:styleId="50">
    <w:name w:val="批注引用1"/>
    <w:basedOn w:val="20"/>
    <w:link w:val="51"/>
    <w:qFormat/>
    <w:uiPriority w:val="0"/>
    <w:rPr>
      <w:sz w:val="21"/>
      <w:szCs w:val="24"/>
    </w:rPr>
  </w:style>
  <w:style w:type="paragraph" w:customStyle="1" w:styleId="51">
    <w:name w:val="正文11"/>
    <w:basedOn w:val="1"/>
    <w:next w:val="1"/>
    <w:link w:val="50"/>
    <w:qFormat/>
    <w:uiPriority w:val="0"/>
    <w:rPr>
      <w:rFonts w:ascii="Calibri" w:hAnsi="Calibri"/>
      <w:kern w:val="0"/>
    </w:rPr>
  </w:style>
  <w:style w:type="character" w:customStyle="1" w:styleId="52">
    <w:name w:val="标题 Char"/>
    <w:basedOn w:val="20"/>
    <w:link w:val="15"/>
    <w:qFormat/>
    <w:uiPriority w:val="0"/>
    <w:rPr>
      <w:rFonts w:ascii="Arial" w:hAnsi="Arial" w:cs="Times New Roman"/>
      <w:b/>
      <w:bCs/>
      <w:sz w:val="32"/>
      <w:szCs w:val="32"/>
    </w:rPr>
  </w:style>
  <w:style w:type="character" w:customStyle="1" w:styleId="53">
    <w:name w:val="font181"/>
    <w:basedOn w:val="20"/>
    <w:qFormat/>
    <w:uiPriority w:val="0"/>
    <w:rPr>
      <w:rFonts w:hint="eastAsia" w:ascii="宋体" w:hAnsi="宋体" w:eastAsia="宋体" w:cs="宋体"/>
      <w:color w:val="000000"/>
      <w:sz w:val="20"/>
      <w:szCs w:val="20"/>
      <w:u w:val="none"/>
      <w:vertAlign w:val="superscript"/>
    </w:rPr>
  </w:style>
  <w:style w:type="character" w:customStyle="1" w:styleId="54">
    <w:name w:val="font71"/>
    <w:basedOn w:val="20"/>
    <w:qFormat/>
    <w:uiPriority w:val="0"/>
    <w:rPr>
      <w:rFonts w:hint="eastAsia" w:ascii="宋体" w:hAnsi="宋体" w:eastAsia="宋体" w:cs="宋体"/>
      <w:color w:val="000000"/>
      <w:sz w:val="20"/>
      <w:szCs w:val="20"/>
      <w:u w:val="none"/>
      <w:vertAlign w:val="superscript"/>
    </w:rPr>
  </w:style>
  <w:style w:type="character" w:customStyle="1" w:styleId="55">
    <w:name w:val="纯文本 Char"/>
    <w:basedOn w:val="20"/>
    <w:link w:val="9"/>
    <w:qFormat/>
    <w:uiPriority w:val="0"/>
    <w:rPr>
      <w:rFonts w:ascii="宋体" w:hAnsi="Times New Roman"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34862-E342-44A2-8331-3D5A3F8A5D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18989</Words>
  <Characters>20785</Characters>
  <Lines>162</Lines>
  <Paragraphs>45</Paragraphs>
  <TotalTime>8</TotalTime>
  <ScaleCrop>false</ScaleCrop>
  <LinksUpToDate>false</LinksUpToDate>
  <CharactersWithSpaces>21699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2023-06-07T01:45:00Z</dcterms:created>
  <dc:creator>Lenovo</dc:creator>
  <cp:lastModifiedBy>DELL</cp:lastModifiedBy>
  <cp:lastPrinted>2020-06-18T09:09:00Z</cp:lastPrinted>
  <dcterms:modified xsi:type="dcterms:W3CDTF">2023-06-07T12:40:59Z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7616B4AD84884E59A0CB25E582642BEF</vt:lpwstr>
  </property>
</Properties>
</file>